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AB32A" w14:textId="77777777" w:rsidR="0065799D" w:rsidRPr="00B26935" w:rsidRDefault="00EF67B4">
      <w:pPr>
        <w:ind w:left="-360"/>
        <w:rPr>
          <w:lang w:val="en-GB"/>
        </w:rPr>
        <w:sectPr w:rsidR="0065799D" w:rsidRPr="00B26935">
          <w:footerReference w:type="even" r:id="rId12"/>
          <w:footerReference w:type="default" r:id="rId13"/>
          <w:pgSz w:w="11906" w:h="16838"/>
          <w:pgMar w:top="899" w:right="1417" w:bottom="1417" w:left="1417" w:header="708" w:footer="708" w:gutter="0"/>
          <w:cols w:num="2" w:space="708" w:equalWidth="0">
            <w:col w:w="1469" w:space="708"/>
            <w:col w:w="6895"/>
          </w:cols>
          <w:docGrid w:linePitch="360"/>
        </w:sectPr>
      </w:pPr>
      <w:r w:rsidRPr="00B26935">
        <w:rPr>
          <w:lang w:val="en-GB"/>
        </w:rPr>
        <w:t xml:space="preserve">     </w:t>
      </w:r>
    </w:p>
    <w:tbl>
      <w:tblPr>
        <w:tblW w:w="9322" w:type="dxa"/>
        <w:tblLook w:val="04A0" w:firstRow="1" w:lastRow="0" w:firstColumn="1" w:lastColumn="0" w:noHBand="0" w:noVBand="1"/>
      </w:tblPr>
      <w:tblGrid>
        <w:gridCol w:w="4219"/>
        <w:gridCol w:w="5103"/>
      </w:tblGrid>
      <w:tr w:rsidR="000C34D1" w:rsidRPr="002B7160" w14:paraId="5CF753AF" w14:textId="77777777" w:rsidTr="0061176C">
        <w:tc>
          <w:tcPr>
            <w:tcW w:w="4219" w:type="dxa"/>
            <w:shd w:val="clear" w:color="auto" w:fill="auto"/>
          </w:tcPr>
          <w:p w14:paraId="6DA84246" w14:textId="77777777" w:rsidR="000C34D1" w:rsidRPr="002B7160" w:rsidRDefault="0041076C" w:rsidP="000C34D1">
            <w:pPr>
              <w:rPr>
                <w:rFonts w:ascii="Arial" w:hAnsi="Arial" w:cs="Arial"/>
                <w:sz w:val="18"/>
                <w:szCs w:val="22"/>
                <w:lang w:val="en-GB"/>
              </w:rPr>
            </w:pPr>
            <w:r>
              <w:rPr>
                <w:noProof/>
                <w:lang w:val="en-GB" w:eastAsia="en-GB"/>
              </w:rPr>
              <w:drawing>
                <wp:inline distT="0" distB="0" distL="0" distR="0" wp14:anchorId="01BA32F9" wp14:editId="5F42229E">
                  <wp:extent cx="1664970" cy="741680"/>
                  <wp:effectExtent l="0" t="0" r="0" b="1270"/>
                  <wp:docPr id="1" name="Picture 1" descr="ectaa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aalogo-n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970" cy="741680"/>
                          </a:xfrm>
                          <a:prstGeom prst="rect">
                            <a:avLst/>
                          </a:prstGeom>
                          <a:noFill/>
                          <a:ln>
                            <a:noFill/>
                          </a:ln>
                        </pic:spPr>
                      </pic:pic>
                    </a:graphicData>
                  </a:graphic>
                </wp:inline>
              </w:drawing>
            </w:r>
          </w:p>
          <w:p w14:paraId="6B036679" w14:textId="77777777" w:rsidR="00EC3246" w:rsidRPr="002B7160" w:rsidRDefault="00EC3246" w:rsidP="00EC3246">
            <w:pPr>
              <w:rPr>
                <w:rFonts w:ascii="Arial" w:hAnsi="Arial" w:cs="Arial"/>
                <w:sz w:val="18"/>
                <w:szCs w:val="18"/>
                <w:lang w:val="en-GB"/>
              </w:rPr>
            </w:pPr>
          </w:p>
          <w:p w14:paraId="7C7F1149" w14:textId="56A8F28E" w:rsidR="00EC3246" w:rsidRPr="002F25C1" w:rsidRDefault="00F914DF" w:rsidP="00EC3246">
            <w:pPr>
              <w:rPr>
                <w:rFonts w:ascii="Arial" w:hAnsi="Arial" w:cs="Arial"/>
                <w:sz w:val="18"/>
                <w:szCs w:val="18"/>
                <w:lang w:val="en-BE"/>
              </w:rPr>
            </w:pPr>
            <w:r>
              <w:rPr>
                <w:rFonts w:ascii="Arial" w:hAnsi="Arial" w:cs="Arial"/>
                <w:sz w:val="18"/>
                <w:szCs w:val="18"/>
                <w:lang w:val="en-GB"/>
              </w:rPr>
              <w:t xml:space="preserve">Ref.: </w:t>
            </w:r>
            <w:r w:rsidR="002F25C1">
              <w:rPr>
                <w:rFonts w:ascii="Arial" w:hAnsi="Arial" w:cs="Arial"/>
                <w:sz w:val="18"/>
                <w:szCs w:val="18"/>
                <w:lang w:val="en-BE"/>
              </w:rPr>
              <w:t xml:space="preserve">Air Safety </w:t>
            </w:r>
            <w:r w:rsidR="0061362E">
              <w:rPr>
                <w:rFonts w:ascii="Arial" w:hAnsi="Arial" w:cs="Arial"/>
                <w:sz w:val="18"/>
                <w:szCs w:val="18"/>
                <w:lang w:val="en-BE"/>
              </w:rPr>
              <w:t xml:space="preserve">22020 </w:t>
            </w:r>
            <w:r w:rsidR="002F25C1">
              <w:rPr>
                <w:rFonts w:ascii="Arial" w:hAnsi="Arial" w:cs="Arial"/>
                <w:sz w:val="18"/>
                <w:szCs w:val="18"/>
                <w:lang w:val="en-BE"/>
              </w:rPr>
              <w:t xml:space="preserve">EU </w:t>
            </w:r>
            <w:proofErr w:type="gramStart"/>
            <w:r w:rsidR="002F25C1">
              <w:rPr>
                <w:rFonts w:ascii="Arial" w:hAnsi="Arial" w:cs="Arial"/>
                <w:sz w:val="18"/>
                <w:szCs w:val="18"/>
                <w:lang w:val="en-BE"/>
              </w:rPr>
              <w:t>black list</w:t>
            </w:r>
            <w:proofErr w:type="gramEnd"/>
            <w:r w:rsidR="002F25C1">
              <w:rPr>
                <w:rFonts w:ascii="Arial" w:hAnsi="Arial" w:cs="Arial"/>
                <w:sz w:val="18"/>
                <w:szCs w:val="18"/>
                <w:lang w:val="en-BE"/>
              </w:rPr>
              <w:t xml:space="preserve"> </w:t>
            </w:r>
            <w:r w:rsidR="0061362E">
              <w:rPr>
                <w:rFonts w:ascii="Arial" w:hAnsi="Arial" w:cs="Arial"/>
                <w:sz w:val="18"/>
                <w:szCs w:val="18"/>
                <w:lang w:val="en-BE"/>
              </w:rPr>
              <w:t>December</w:t>
            </w:r>
          </w:p>
          <w:p w14:paraId="31C71BED" w14:textId="77777777" w:rsidR="000C34D1" w:rsidRPr="002B7160" w:rsidRDefault="000C34D1">
            <w:pPr>
              <w:rPr>
                <w:lang w:val="en-GB"/>
              </w:rPr>
            </w:pPr>
          </w:p>
        </w:tc>
        <w:tc>
          <w:tcPr>
            <w:tcW w:w="5103" w:type="dxa"/>
            <w:shd w:val="clear" w:color="auto" w:fill="auto"/>
          </w:tcPr>
          <w:p w14:paraId="3E87170F" w14:textId="77777777" w:rsidR="00A73CFA" w:rsidRPr="002B7160" w:rsidRDefault="00A73CFA" w:rsidP="002B7160">
            <w:pPr>
              <w:tabs>
                <w:tab w:val="left" w:pos="744"/>
              </w:tabs>
              <w:rPr>
                <w:rFonts w:ascii="Arial" w:hAnsi="Arial" w:cs="Arial"/>
                <w:sz w:val="16"/>
                <w:szCs w:val="22"/>
                <w:lang w:val="en-GB"/>
              </w:rPr>
            </w:pPr>
          </w:p>
          <w:p w14:paraId="5F8C6A9F" w14:textId="77777777" w:rsidR="007E2880" w:rsidRPr="002B7160" w:rsidRDefault="007E2880" w:rsidP="002B7160">
            <w:pPr>
              <w:tabs>
                <w:tab w:val="left" w:pos="744"/>
              </w:tabs>
              <w:rPr>
                <w:rFonts w:ascii="Arial" w:hAnsi="Arial" w:cs="Arial"/>
                <w:sz w:val="22"/>
                <w:szCs w:val="22"/>
                <w:lang w:val="en-GB"/>
              </w:rPr>
            </w:pPr>
          </w:p>
          <w:p w14:paraId="28E33D3D" w14:textId="77777777" w:rsidR="007E2880" w:rsidRPr="002B7160" w:rsidRDefault="007E2880" w:rsidP="002B7160">
            <w:pPr>
              <w:tabs>
                <w:tab w:val="left" w:pos="744"/>
              </w:tabs>
              <w:rPr>
                <w:rFonts w:ascii="Arial" w:hAnsi="Arial" w:cs="Arial"/>
                <w:sz w:val="22"/>
                <w:szCs w:val="22"/>
                <w:lang w:val="en-GB"/>
              </w:rPr>
            </w:pPr>
          </w:p>
          <w:p w14:paraId="30B12115" w14:textId="77777777" w:rsidR="00EC3246" w:rsidRPr="002B7160" w:rsidRDefault="00EC3246" w:rsidP="005B47AC">
            <w:pPr>
              <w:ind w:left="743" w:right="-568" w:hanging="743"/>
              <w:rPr>
                <w:rFonts w:ascii="Arial" w:hAnsi="Arial" w:cs="Arial"/>
                <w:sz w:val="22"/>
                <w:szCs w:val="22"/>
                <w:lang w:val="en-GB"/>
              </w:rPr>
            </w:pPr>
            <w:r w:rsidRPr="002B7160">
              <w:rPr>
                <w:rFonts w:ascii="Arial" w:hAnsi="Arial" w:cs="Arial"/>
                <w:sz w:val="22"/>
                <w:szCs w:val="22"/>
                <w:lang w:val="en-GB"/>
              </w:rPr>
              <w:t>From:</w:t>
            </w:r>
            <w:r w:rsidRPr="002B7160">
              <w:rPr>
                <w:rFonts w:ascii="Arial" w:hAnsi="Arial" w:cs="Arial"/>
                <w:sz w:val="22"/>
                <w:szCs w:val="22"/>
                <w:lang w:val="en-GB"/>
              </w:rPr>
              <w:tab/>
              <w:t>Christina Russe</w:t>
            </w:r>
          </w:p>
          <w:p w14:paraId="164EE6E4" w14:textId="77777777" w:rsidR="00EC3246" w:rsidRPr="002B7160" w:rsidRDefault="00EC3246" w:rsidP="005B47AC">
            <w:pPr>
              <w:ind w:left="743" w:right="-568" w:hanging="743"/>
              <w:rPr>
                <w:rFonts w:ascii="Arial" w:hAnsi="Arial" w:cs="Arial"/>
                <w:sz w:val="22"/>
                <w:szCs w:val="22"/>
                <w:lang w:val="en-GB"/>
              </w:rPr>
            </w:pPr>
          </w:p>
          <w:p w14:paraId="6BFC7E82" w14:textId="77777777" w:rsidR="0061176C" w:rsidRDefault="000C34D1" w:rsidP="005B47AC">
            <w:pPr>
              <w:ind w:left="743" w:right="-568" w:hanging="743"/>
              <w:rPr>
                <w:rFonts w:ascii="Arial" w:hAnsi="Arial" w:cs="Arial"/>
                <w:sz w:val="22"/>
                <w:szCs w:val="22"/>
                <w:lang w:val="en-GB"/>
              </w:rPr>
            </w:pPr>
            <w:r w:rsidRPr="002B7160">
              <w:rPr>
                <w:rFonts w:ascii="Arial" w:hAnsi="Arial" w:cs="Arial"/>
                <w:sz w:val="22"/>
                <w:szCs w:val="22"/>
                <w:lang w:val="en-GB"/>
              </w:rPr>
              <w:t>To:</w:t>
            </w:r>
            <w:r w:rsidRPr="002B7160">
              <w:rPr>
                <w:rFonts w:ascii="Arial" w:hAnsi="Arial" w:cs="Arial"/>
                <w:sz w:val="22"/>
                <w:szCs w:val="22"/>
                <w:lang w:val="en-GB"/>
              </w:rPr>
              <w:tab/>
            </w:r>
            <w:r w:rsidR="00EC3246" w:rsidRPr="002B7160">
              <w:rPr>
                <w:rFonts w:ascii="Arial" w:hAnsi="Arial" w:cs="Arial"/>
                <w:sz w:val="22"/>
                <w:szCs w:val="22"/>
                <w:lang w:val="en-GB"/>
              </w:rPr>
              <w:t>Members</w:t>
            </w:r>
          </w:p>
          <w:p w14:paraId="508E3E95" w14:textId="77777777" w:rsidR="005B47AC" w:rsidRDefault="005B47AC" w:rsidP="005B47AC">
            <w:pPr>
              <w:ind w:left="743" w:right="-568" w:hanging="743"/>
              <w:rPr>
                <w:rFonts w:ascii="Arial" w:hAnsi="Arial" w:cs="Arial"/>
                <w:sz w:val="22"/>
                <w:szCs w:val="22"/>
                <w:lang w:val="en-GB"/>
              </w:rPr>
            </w:pPr>
            <w:r>
              <w:rPr>
                <w:rFonts w:ascii="Arial" w:hAnsi="Arial" w:cs="Arial"/>
                <w:sz w:val="22"/>
                <w:szCs w:val="22"/>
                <w:lang w:val="en-GB"/>
              </w:rPr>
              <w:tab/>
              <w:t>Delegates of the Air Matters Committee</w:t>
            </w:r>
          </w:p>
          <w:p w14:paraId="7C03AF9E" w14:textId="77777777" w:rsidR="005B47AC" w:rsidRDefault="005B47AC" w:rsidP="005B47AC">
            <w:pPr>
              <w:ind w:left="743" w:right="-568" w:hanging="743"/>
              <w:rPr>
                <w:rFonts w:ascii="Arial" w:hAnsi="Arial" w:cs="Arial"/>
                <w:sz w:val="22"/>
                <w:szCs w:val="22"/>
                <w:lang w:val="en-GB"/>
              </w:rPr>
            </w:pPr>
            <w:r>
              <w:rPr>
                <w:rFonts w:ascii="Arial" w:hAnsi="Arial" w:cs="Arial"/>
                <w:sz w:val="22"/>
                <w:szCs w:val="22"/>
                <w:lang w:val="en-GB"/>
              </w:rPr>
              <w:tab/>
              <w:t>Delegates of the Tour Operators Committee</w:t>
            </w:r>
          </w:p>
          <w:p w14:paraId="34754A44" w14:textId="77777777" w:rsidR="000C34D1" w:rsidRPr="002B7160" w:rsidRDefault="00DA5FA5" w:rsidP="005B47AC">
            <w:pPr>
              <w:ind w:left="743" w:right="-568" w:hanging="743"/>
              <w:rPr>
                <w:rFonts w:ascii="Arial" w:hAnsi="Arial" w:cs="Arial"/>
                <w:sz w:val="22"/>
                <w:szCs w:val="22"/>
                <w:lang w:val="en-GB"/>
              </w:rPr>
            </w:pPr>
            <w:r>
              <w:rPr>
                <w:rFonts w:ascii="Arial" w:hAnsi="Arial" w:cs="Arial"/>
                <w:sz w:val="22"/>
                <w:szCs w:val="22"/>
                <w:lang w:val="en-GB"/>
              </w:rPr>
              <w:t xml:space="preserve"> </w:t>
            </w:r>
            <w:r w:rsidR="0061176C">
              <w:rPr>
                <w:rFonts w:ascii="Arial" w:hAnsi="Arial" w:cs="Arial"/>
                <w:sz w:val="22"/>
                <w:szCs w:val="22"/>
                <w:lang w:val="en-GB"/>
              </w:rPr>
              <w:tab/>
            </w:r>
            <w:r w:rsidR="00EC3246" w:rsidRPr="002B7160">
              <w:rPr>
                <w:rFonts w:ascii="Arial" w:hAnsi="Arial" w:cs="Arial"/>
                <w:sz w:val="22"/>
                <w:szCs w:val="22"/>
                <w:lang w:val="en-GB"/>
              </w:rPr>
              <w:tab/>
            </w:r>
          </w:p>
          <w:p w14:paraId="12AEF4F0" w14:textId="59FC410B" w:rsidR="000C34D1" w:rsidRPr="002F25C1" w:rsidRDefault="00BD1334" w:rsidP="00BC28FE">
            <w:pPr>
              <w:ind w:left="743" w:right="-568" w:hanging="743"/>
              <w:rPr>
                <w:lang w:val="en-BE"/>
              </w:rPr>
            </w:pPr>
            <w:r>
              <w:rPr>
                <w:rFonts w:ascii="Arial" w:hAnsi="Arial" w:cs="Arial"/>
                <w:sz w:val="22"/>
                <w:szCs w:val="22"/>
                <w:lang w:val="en-GB"/>
              </w:rPr>
              <w:t xml:space="preserve">Date: </w:t>
            </w:r>
            <w:r w:rsidR="005B47AC">
              <w:rPr>
                <w:rFonts w:ascii="Arial" w:hAnsi="Arial" w:cs="Arial"/>
                <w:sz w:val="22"/>
                <w:szCs w:val="22"/>
                <w:lang w:val="en-GB"/>
              </w:rPr>
              <w:tab/>
            </w:r>
            <w:r w:rsidR="0061362E">
              <w:rPr>
                <w:rFonts w:ascii="Arial" w:hAnsi="Arial" w:cs="Arial"/>
                <w:sz w:val="22"/>
                <w:szCs w:val="22"/>
                <w:lang w:val="en-BE"/>
              </w:rPr>
              <w:t>7 December</w:t>
            </w:r>
            <w:r w:rsidR="002F25C1">
              <w:rPr>
                <w:rFonts w:ascii="Arial" w:hAnsi="Arial" w:cs="Arial"/>
                <w:sz w:val="22"/>
                <w:szCs w:val="22"/>
                <w:lang w:val="en-BE"/>
              </w:rPr>
              <w:t xml:space="preserve"> 2020</w:t>
            </w:r>
          </w:p>
        </w:tc>
      </w:tr>
    </w:tbl>
    <w:p w14:paraId="175238C5" w14:textId="77777777" w:rsidR="000C34D1" w:rsidRDefault="000C34D1">
      <w:pPr>
        <w:rPr>
          <w:rFonts w:ascii="Arial" w:hAnsi="Arial" w:cs="Arial"/>
          <w:sz w:val="18"/>
          <w:szCs w:val="22"/>
          <w:lang w:val="en-GB"/>
        </w:rPr>
      </w:pPr>
    </w:p>
    <w:p w14:paraId="48588906" w14:textId="77777777" w:rsidR="005C4876" w:rsidRPr="00B26935" w:rsidRDefault="005C4876">
      <w:pPr>
        <w:rPr>
          <w:rFonts w:ascii="Arial" w:hAnsi="Arial" w:cs="Arial"/>
          <w:sz w:val="18"/>
          <w:szCs w:val="22"/>
          <w:lang w:val="en-GB"/>
        </w:rPr>
      </w:pPr>
    </w:p>
    <w:p w14:paraId="078D9282" w14:textId="77777777" w:rsidR="00860485" w:rsidRPr="00860485" w:rsidRDefault="00860485" w:rsidP="00860485">
      <w:pPr>
        <w:pBdr>
          <w:bottom w:val="single" w:sz="4" w:space="1" w:color="auto"/>
        </w:pBdr>
        <w:spacing w:after="120"/>
        <w:jc w:val="both"/>
        <w:rPr>
          <w:rFonts w:ascii="Arial" w:eastAsia="Calibri" w:hAnsi="Arial" w:cs="Arial"/>
          <w:b/>
          <w:iCs/>
          <w:sz w:val="22"/>
          <w:szCs w:val="22"/>
          <w:lang w:val="en-GB" w:eastAsia="en-US"/>
        </w:rPr>
      </w:pPr>
      <w:r w:rsidRPr="00860485">
        <w:rPr>
          <w:rFonts w:ascii="Arial" w:eastAsia="Calibri" w:hAnsi="Arial" w:cs="Arial"/>
          <w:b/>
          <w:iCs/>
          <w:sz w:val="22"/>
          <w:szCs w:val="22"/>
          <w:lang w:val="en-GB" w:eastAsia="en-US"/>
        </w:rPr>
        <w:t xml:space="preserve">Re: </w:t>
      </w:r>
      <w:r w:rsidRPr="00860485">
        <w:rPr>
          <w:rFonts w:ascii="Arial" w:eastAsia="Calibri" w:hAnsi="Arial" w:cs="Arial"/>
          <w:b/>
          <w:iCs/>
          <w:sz w:val="22"/>
          <w:szCs w:val="22"/>
          <w:lang w:val="en-GB" w:eastAsia="en-US"/>
        </w:rPr>
        <w:tab/>
        <w:t xml:space="preserve">Update of the EU Air Safety List </w:t>
      </w:r>
    </w:p>
    <w:p w14:paraId="5D3A4B35" w14:textId="77777777" w:rsidR="005C4876" w:rsidRDefault="005C4876" w:rsidP="005C4876">
      <w:pPr>
        <w:jc w:val="both"/>
        <w:rPr>
          <w:rFonts w:ascii="Arial" w:eastAsia="Calibri" w:hAnsi="Arial" w:cs="Arial"/>
          <w:sz w:val="22"/>
          <w:szCs w:val="22"/>
          <w:lang w:val="en-GB" w:eastAsia="en-US"/>
        </w:rPr>
      </w:pPr>
    </w:p>
    <w:p w14:paraId="2064231F" w14:textId="56287F79" w:rsidR="00860485" w:rsidRPr="00860485" w:rsidRDefault="00860485" w:rsidP="00860485">
      <w:pPr>
        <w:spacing w:after="120"/>
        <w:jc w:val="both"/>
        <w:rPr>
          <w:rFonts w:ascii="Arial" w:eastAsia="Calibri" w:hAnsi="Arial" w:cs="Arial"/>
          <w:bCs/>
          <w:sz w:val="22"/>
          <w:szCs w:val="22"/>
          <w:lang w:val="en-GB" w:eastAsia="en-US"/>
        </w:rPr>
      </w:pPr>
      <w:r w:rsidRPr="00860485">
        <w:rPr>
          <w:rFonts w:ascii="Arial" w:eastAsia="Calibri" w:hAnsi="Arial" w:cs="Arial"/>
          <w:sz w:val="22"/>
          <w:szCs w:val="22"/>
          <w:lang w:val="en-GB" w:eastAsia="en-US"/>
        </w:rPr>
        <w:t xml:space="preserve">On </w:t>
      </w:r>
      <w:proofErr w:type="gramStart"/>
      <w:r w:rsidR="0061362E">
        <w:rPr>
          <w:rFonts w:ascii="Arial" w:eastAsia="Calibri" w:hAnsi="Arial" w:cs="Arial"/>
          <w:sz w:val="22"/>
          <w:szCs w:val="22"/>
          <w:lang w:val="en-BE" w:eastAsia="en-US"/>
        </w:rPr>
        <w:t>2 December</w:t>
      </w:r>
      <w:proofErr w:type="gramEnd"/>
      <w:r w:rsidRPr="00860485">
        <w:rPr>
          <w:rFonts w:ascii="Arial" w:eastAsia="Calibri" w:hAnsi="Arial" w:cs="Arial"/>
          <w:sz w:val="22"/>
          <w:szCs w:val="22"/>
          <w:lang w:val="en-GB" w:eastAsia="en-US"/>
        </w:rPr>
        <w:t xml:space="preserve"> the Commission adopted an </w:t>
      </w:r>
      <w:r w:rsidRPr="00860485">
        <w:rPr>
          <w:rFonts w:ascii="Arial" w:eastAsia="Calibri" w:hAnsi="Arial" w:cs="Arial"/>
          <w:b/>
          <w:sz w:val="22"/>
          <w:szCs w:val="22"/>
          <w:lang w:val="en-GB" w:eastAsia="en-US"/>
        </w:rPr>
        <w:t xml:space="preserve">updated </w:t>
      </w:r>
      <w:r w:rsidRPr="00860485">
        <w:rPr>
          <w:rFonts w:ascii="Arial" w:eastAsia="Calibri" w:hAnsi="Arial" w:cs="Arial"/>
          <w:b/>
          <w:bCs/>
          <w:sz w:val="22"/>
          <w:szCs w:val="22"/>
          <w:lang w:val="en-GB" w:eastAsia="en-US"/>
        </w:rPr>
        <w:t>EU Air Safety List</w:t>
      </w:r>
      <w:r w:rsidRPr="00860485">
        <w:rPr>
          <w:rFonts w:ascii="Arial" w:eastAsia="Calibri" w:hAnsi="Arial" w:cs="Arial"/>
          <w:bCs/>
          <w:sz w:val="22"/>
          <w:szCs w:val="22"/>
          <w:lang w:val="en-GB" w:eastAsia="en-US"/>
        </w:rPr>
        <w:t xml:space="preserve">. The new list has been published in the Official Journal of the EU </w:t>
      </w:r>
      <w:r w:rsidR="00BC28FE">
        <w:rPr>
          <w:rFonts w:ascii="Arial" w:eastAsia="Calibri" w:hAnsi="Arial" w:cs="Arial"/>
          <w:bCs/>
          <w:sz w:val="22"/>
          <w:szCs w:val="22"/>
          <w:lang w:val="en-GB" w:eastAsia="en-US"/>
        </w:rPr>
        <w:t xml:space="preserve">on </w:t>
      </w:r>
      <w:r w:rsidR="00AE05FA">
        <w:rPr>
          <w:rFonts w:ascii="Arial" w:eastAsia="Calibri" w:hAnsi="Arial" w:cs="Arial"/>
          <w:bCs/>
          <w:sz w:val="22"/>
          <w:szCs w:val="22"/>
          <w:lang w:val="en-BE" w:eastAsia="en-US"/>
        </w:rPr>
        <w:t>7 December</w:t>
      </w:r>
      <w:r w:rsidRPr="00860485">
        <w:rPr>
          <w:rFonts w:ascii="Arial" w:eastAsia="Calibri" w:hAnsi="Arial" w:cs="Arial"/>
          <w:bCs/>
          <w:sz w:val="22"/>
          <w:szCs w:val="22"/>
          <w:lang w:val="en-GB" w:eastAsia="en-US"/>
        </w:rPr>
        <w:t xml:space="preserve"> and </w:t>
      </w:r>
      <w:r w:rsidR="00870079">
        <w:rPr>
          <w:rFonts w:ascii="Arial" w:eastAsia="Calibri" w:hAnsi="Arial" w:cs="Arial"/>
          <w:bCs/>
          <w:sz w:val="22"/>
          <w:szCs w:val="22"/>
          <w:lang w:val="en-BE" w:eastAsia="en-US"/>
        </w:rPr>
        <w:t>will</w:t>
      </w:r>
      <w:r>
        <w:rPr>
          <w:rFonts w:ascii="Arial" w:eastAsia="Calibri" w:hAnsi="Arial" w:cs="Arial"/>
          <w:bCs/>
          <w:sz w:val="22"/>
          <w:szCs w:val="22"/>
          <w:lang w:val="en-GB" w:eastAsia="en-US"/>
        </w:rPr>
        <w:t xml:space="preserve"> </w:t>
      </w:r>
      <w:r w:rsidRPr="00860485">
        <w:rPr>
          <w:rFonts w:ascii="Arial" w:eastAsia="Calibri" w:hAnsi="Arial" w:cs="Arial"/>
          <w:b/>
          <w:bCs/>
          <w:sz w:val="22"/>
          <w:szCs w:val="22"/>
          <w:lang w:val="en-GB" w:eastAsia="en-US"/>
        </w:rPr>
        <w:t xml:space="preserve">enter into force </w:t>
      </w:r>
      <w:r w:rsidR="00434124">
        <w:rPr>
          <w:rFonts w:ascii="Arial" w:eastAsia="Calibri" w:hAnsi="Arial" w:cs="Arial"/>
          <w:b/>
          <w:bCs/>
          <w:sz w:val="22"/>
          <w:szCs w:val="22"/>
          <w:lang w:val="en-GB" w:eastAsia="en-US"/>
        </w:rPr>
        <w:t xml:space="preserve">on </w:t>
      </w:r>
      <w:r w:rsidR="00870079">
        <w:rPr>
          <w:rFonts w:ascii="Arial" w:eastAsia="Calibri" w:hAnsi="Arial" w:cs="Arial"/>
          <w:b/>
          <w:bCs/>
          <w:sz w:val="22"/>
          <w:szCs w:val="22"/>
          <w:lang w:val="en-BE" w:eastAsia="en-US"/>
        </w:rPr>
        <w:t>8</w:t>
      </w:r>
      <w:r w:rsidR="005E2352">
        <w:rPr>
          <w:rFonts w:ascii="Arial" w:eastAsia="Calibri" w:hAnsi="Arial" w:cs="Arial"/>
          <w:b/>
          <w:bCs/>
          <w:sz w:val="22"/>
          <w:szCs w:val="22"/>
          <w:lang w:val="en-BE" w:eastAsia="en-US"/>
        </w:rPr>
        <w:t xml:space="preserve"> </w:t>
      </w:r>
      <w:r w:rsidR="00870079">
        <w:rPr>
          <w:rFonts w:ascii="Arial" w:eastAsia="Calibri" w:hAnsi="Arial" w:cs="Arial"/>
          <w:b/>
          <w:bCs/>
          <w:sz w:val="22"/>
          <w:szCs w:val="22"/>
          <w:lang w:val="en-BE" w:eastAsia="en-US"/>
        </w:rPr>
        <w:t>December</w:t>
      </w:r>
      <w:r w:rsidR="005E2352">
        <w:rPr>
          <w:rFonts w:ascii="Arial" w:eastAsia="Calibri" w:hAnsi="Arial" w:cs="Arial"/>
          <w:b/>
          <w:bCs/>
          <w:sz w:val="22"/>
          <w:szCs w:val="22"/>
          <w:lang w:val="en-BE" w:eastAsia="en-US"/>
        </w:rPr>
        <w:t xml:space="preserve"> 2020</w:t>
      </w:r>
      <w:r w:rsidR="00434124">
        <w:rPr>
          <w:rFonts w:ascii="Arial" w:eastAsia="Calibri" w:hAnsi="Arial" w:cs="Arial"/>
          <w:b/>
          <w:bCs/>
          <w:sz w:val="22"/>
          <w:szCs w:val="22"/>
          <w:lang w:val="en-GB" w:eastAsia="en-US"/>
        </w:rPr>
        <w:t xml:space="preserve"> </w:t>
      </w:r>
      <w:r w:rsidR="00434124" w:rsidRPr="00434124">
        <w:rPr>
          <w:rFonts w:ascii="Arial" w:eastAsia="Calibri" w:hAnsi="Arial" w:cs="Arial"/>
          <w:bCs/>
          <w:sz w:val="22"/>
          <w:szCs w:val="22"/>
          <w:lang w:val="en-GB" w:eastAsia="en-US"/>
        </w:rPr>
        <w:t>(day after publication in the Official Journal)</w:t>
      </w:r>
      <w:r w:rsidRPr="00434124">
        <w:rPr>
          <w:rFonts w:ascii="Arial" w:eastAsia="Calibri" w:hAnsi="Arial" w:cs="Arial"/>
          <w:bCs/>
          <w:sz w:val="22"/>
          <w:szCs w:val="22"/>
          <w:lang w:val="en-GB" w:eastAsia="en-US"/>
        </w:rPr>
        <w:t xml:space="preserve">. </w:t>
      </w:r>
    </w:p>
    <w:p w14:paraId="3CA42132" w14:textId="77777777" w:rsidR="00860485" w:rsidRPr="00860485" w:rsidRDefault="00860485" w:rsidP="00860485">
      <w:pPr>
        <w:spacing w:after="120"/>
        <w:jc w:val="both"/>
        <w:rPr>
          <w:rFonts w:ascii="Arial" w:eastAsia="Calibri" w:hAnsi="Arial" w:cs="Arial"/>
          <w:bCs/>
          <w:sz w:val="22"/>
          <w:szCs w:val="22"/>
          <w:lang w:val="en-GB" w:eastAsia="en-US"/>
        </w:rPr>
      </w:pPr>
      <w:r w:rsidRPr="00860485">
        <w:rPr>
          <w:rFonts w:ascii="Arial" w:eastAsia="Calibri" w:hAnsi="Arial" w:cs="Arial"/>
          <w:bCs/>
          <w:sz w:val="22"/>
          <w:szCs w:val="22"/>
          <w:lang w:val="en-GB" w:eastAsia="en-US"/>
        </w:rPr>
        <w:t>For reminder, the EU Air Safety List is a list of airlines which are either considered not to be able to respect international aviation safety standards, or whose civil aviation authorities are deemed unable to provide the necessary safety oversight as foreseen by international aviation safety rules. The airlines mentioned on the EU Air Safety List are not allowed to operate to the EU, except for some of them, which can only do so under very strict conditions. The EU Air Safety List also serves as a tool to warn the travelling public when travelling in other parts of the world.</w:t>
      </w:r>
    </w:p>
    <w:p w14:paraId="7F9A5932" w14:textId="77777777" w:rsidR="00860485" w:rsidRPr="00860485" w:rsidRDefault="00860485" w:rsidP="00860485">
      <w:pPr>
        <w:spacing w:after="120"/>
        <w:jc w:val="both"/>
        <w:rPr>
          <w:rFonts w:ascii="Arial" w:eastAsia="Calibri" w:hAnsi="Arial" w:cs="Arial"/>
          <w:sz w:val="22"/>
          <w:szCs w:val="22"/>
          <w:lang w:val="en-GB" w:eastAsia="en-US"/>
        </w:rPr>
      </w:pPr>
      <w:r w:rsidRPr="00860485">
        <w:rPr>
          <w:rFonts w:ascii="Arial" w:eastAsia="Calibri" w:hAnsi="Arial" w:cs="Arial"/>
          <w:sz w:val="22"/>
          <w:szCs w:val="22"/>
          <w:lang w:val="en-GB" w:eastAsia="en-US"/>
        </w:rPr>
        <w:t xml:space="preserve">The EU Air safety list can be consulted from the following link: </w:t>
      </w:r>
    </w:p>
    <w:p w14:paraId="5F5CD1CB" w14:textId="77777777" w:rsidR="00434124" w:rsidRPr="00860485" w:rsidRDefault="00CC1766" w:rsidP="00860485">
      <w:pPr>
        <w:spacing w:after="120"/>
        <w:jc w:val="both"/>
        <w:rPr>
          <w:rFonts w:ascii="Arial" w:eastAsia="Calibri" w:hAnsi="Arial" w:cs="Arial"/>
          <w:sz w:val="22"/>
          <w:szCs w:val="22"/>
          <w:lang w:val="en-GB" w:eastAsia="en-US"/>
        </w:rPr>
      </w:pPr>
      <w:hyperlink r:id="rId15" w:history="1">
        <w:r w:rsidR="00434124" w:rsidRPr="00467871">
          <w:rPr>
            <w:rStyle w:val="Hyperlink"/>
            <w:rFonts w:ascii="Arial" w:eastAsia="Calibri" w:hAnsi="Arial" w:cs="Arial"/>
            <w:sz w:val="22"/>
            <w:szCs w:val="22"/>
            <w:lang w:val="en-GB" w:eastAsia="en-US"/>
          </w:rPr>
          <w:t>https://ec.europa.eu/transport/modes/air/safety/air-ban_en</w:t>
        </w:r>
      </w:hyperlink>
      <w:r w:rsidR="00434124">
        <w:rPr>
          <w:rFonts w:ascii="Arial" w:eastAsia="Calibri" w:hAnsi="Arial" w:cs="Arial"/>
          <w:sz w:val="22"/>
          <w:szCs w:val="22"/>
          <w:lang w:val="en-GB" w:eastAsia="en-US"/>
        </w:rPr>
        <w:t xml:space="preserve"> </w:t>
      </w:r>
    </w:p>
    <w:p w14:paraId="2854E29D" w14:textId="77606C87" w:rsidR="008F4E54" w:rsidRPr="008F4E54" w:rsidRDefault="00A06FF6" w:rsidP="008F4E54">
      <w:pPr>
        <w:spacing w:after="120"/>
        <w:jc w:val="both"/>
        <w:rPr>
          <w:rFonts w:ascii="Arial" w:eastAsia="Calibri" w:hAnsi="Arial" w:cs="Arial"/>
          <w:sz w:val="22"/>
          <w:szCs w:val="22"/>
          <w:lang w:val="en-GB" w:eastAsia="en-US"/>
        </w:rPr>
      </w:pPr>
      <w:r>
        <w:rPr>
          <w:rFonts w:ascii="Arial" w:eastAsia="Calibri" w:hAnsi="Arial" w:cs="Arial"/>
          <w:b/>
          <w:sz w:val="22"/>
          <w:szCs w:val="22"/>
          <w:lang w:val="en-BE" w:eastAsia="en-US"/>
        </w:rPr>
        <w:t xml:space="preserve">There are </w:t>
      </w:r>
      <w:r w:rsidRPr="002932FB">
        <w:rPr>
          <w:rFonts w:ascii="Arial" w:eastAsia="Calibri" w:hAnsi="Arial" w:cs="Arial"/>
          <w:b/>
          <w:sz w:val="22"/>
          <w:szCs w:val="22"/>
          <w:u w:val="single"/>
          <w:lang w:val="en-BE" w:eastAsia="en-US"/>
        </w:rPr>
        <w:t>no changes</w:t>
      </w:r>
      <w:r>
        <w:rPr>
          <w:rFonts w:ascii="Arial" w:eastAsia="Calibri" w:hAnsi="Arial" w:cs="Arial"/>
          <w:b/>
          <w:sz w:val="22"/>
          <w:szCs w:val="22"/>
          <w:lang w:val="en-BE" w:eastAsia="en-US"/>
        </w:rPr>
        <w:t xml:space="preserve"> c</w:t>
      </w:r>
      <w:proofErr w:type="spellStart"/>
      <w:r w:rsidR="00860485" w:rsidRPr="0058092C">
        <w:rPr>
          <w:rFonts w:ascii="Arial" w:eastAsia="Calibri" w:hAnsi="Arial" w:cs="Arial"/>
          <w:b/>
          <w:sz w:val="22"/>
          <w:szCs w:val="22"/>
          <w:lang w:val="en-GB" w:eastAsia="en-US"/>
        </w:rPr>
        <w:t>ompared</w:t>
      </w:r>
      <w:proofErr w:type="spellEnd"/>
      <w:r w:rsidR="00860485" w:rsidRPr="0058092C">
        <w:rPr>
          <w:rFonts w:ascii="Arial" w:eastAsia="Calibri" w:hAnsi="Arial" w:cs="Arial"/>
          <w:b/>
          <w:sz w:val="22"/>
          <w:szCs w:val="22"/>
          <w:lang w:val="en-GB" w:eastAsia="en-US"/>
        </w:rPr>
        <w:t xml:space="preserve"> to the previous EU Air Safety List published in </w:t>
      </w:r>
      <w:r w:rsidR="00870079">
        <w:rPr>
          <w:rFonts w:ascii="Arial" w:eastAsia="Calibri" w:hAnsi="Arial" w:cs="Arial"/>
          <w:b/>
          <w:sz w:val="22"/>
          <w:szCs w:val="22"/>
          <w:lang w:val="en-BE" w:eastAsia="en-US"/>
        </w:rPr>
        <w:t>June 2020</w:t>
      </w:r>
      <w:r w:rsidR="008F4E54" w:rsidRPr="008F4E54">
        <w:rPr>
          <w:rFonts w:ascii="Arial" w:eastAsia="Calibri" w:hAnsi="Arial" w:cs="Arial"/>
          <w:sz w:val="22"/>
          <w:szCs w:val="22"/>
          <w:lang w:val="en-GB" w:eastAsia="en-US"/>
        </w:rPr>
        <w:t>.</w:t>
      </w:r>
    </w:p>
    <w:p w14:paraId="6DE30BF5" w14:textId="4930614B" w:rsidR="00860485" w:rsidRPr="00860485" w:rsidRDefault="00860485" w:rsidP="00860485">
      <w:pPr>
        <w:spacing w:after="120"/>
        <w:jc w:val="both"/>
        <w:rPr>
          <w:rFonts w:ascii="Arial" w:eastAsia="Calibri" w:hAnsi="Arial" w:cs="Arial"/>
          <w:sz w:val="22"/>
          <w:szCs w:val="22"/>
          <w:lang w:val="en-GB" w:eastAsia="en-US"/>
        </w:rPr>
      </w:pPr>
      <w:r w:rsidRPr="00860485">
        <w:rPr>
          <w:rFonts w:ascii="Arial" w:eastAsia="Calibri" w:hAnsi="Arial" w:cs="Arial"/>
          <w:sz w:val="22"/>
          <w:szCs w:val="22"/>
          <w:lang w:val="en-GB" w:eastAsia="en-US"/>
        </w:rPr>
        <w:t xml:space="preserve">The EU blacklist contains a total of </w:t>
      </w:r>
      <w:r w:rsidR="003A7767">
        <w:rPr>
          <w:rFonts w:ascii="Arial" w:eastAsia="Calibri" w:hAnsi="Arial" w:cs="Arial"/>
          <w:b/>
          <w:sz w:val="22"/>
          <w:szCs w:val="22"/>
          <w:lang w:val="en-BE" w:eastAsia="en-US"/>
        </w:rPr>
        <w:t>96</w:t>
      </w:r>
      <w:r w:rsidRPr="009C6A73">
        <w:rPr>
          <w:rFonts w:ascii="Arial" w:eastAsia="Calibri" w:hAnsi="Arial" w:cs="Arial"/>
          <w:b/>
          <w:sz w:val="22"/>
          <w:szCs w:val="22"/>
          <w:lang w:val="en-GB" w:eastAsia="en-US"/>
        </w:rPr>
        <w:t xml:space="preserve"> airlines</w:t>
      </w:r>
      <w:r w:rsidRPr="00860485">
        <w:rPr>
          <w:rFonts w:ascii="Arial" w:eastAsia="Calibri" w:hAnsi="Arial" w:cs="Arial"/>
          <w:sz w:val="22"/>
          <w:szCs w:val="22"/>
          <w:lang w:val="en-GB" w:eastAsia="en-US"/>
        </w:rPr>
        <w:t xml:space="preserve"> </w:t>
      </w:r>
      <w:r w:rsidR="009C6A73">
        <w:rPr>
          <w:rFonts w:ascii="Arial" w:eastAsia="Calibri" w:hAnsi="Arial" w:cs="Arial"/>
          <w:sz w:val="22"/>
          <w:szCs w:val="22"/>
          <w:lang w:val="en-GB" w:eastAsia="en-US"/>
        </w:rPr>
        <w:t xml:space="preserve">that </w:t>
      </w:r>
      <w:r w:rsidRPr="00860485">
        <w:rPr>
          <w:rFonts w:ascii="Arial" w:eastAsia="Calibri" w:hAnsi="Arial" w:cs="Arial"/>
          <w:sz w:val="22"/>
          <w:szCs w:val="22"/>
          <w:lang w:val="en-GB" w:eastAsia="en-US"/>
        </w:rPr>
        <w:t>are banned from EU skies</w:t>
      </w:r>
      <w:r w:rsidR="009C6A73">
        <w:rPr>
          <w:rFonts w:ascii="Arial" w:eastAsia="Calibri" w:hAnsi="Arial" w:cs="Arial"/>
          <w:sz w:val="22"/>
          <w:szCs w:val="22"/>
          <w:lang w:val="en-GB" w:eastAsia="en-US"/>
        </w:rPr>
        <w:t>, notably</w:t>
      </w:r>
      <w:r w:rsidRPr="00860485">
        <w:rPr>
          <w:rFonts w:ascii="Arial" w:eastAsia="Calibri" w:hAnsi="Arial" w:cs="Arial"/>
          <w:sz w:val="22"/>
          <w:szCs w:val="22"/>
          <w:lang w:val="en-GB" w:eastAsia="en-US"/>
        </w:rPr>
        <w:t>:</w:t>
      </w:r>
    </w:p>
    <w:p w14:paraId="3A4EA619" w14:textId="08711109" w:rsidR="005C4876" w:rsidRPr="008A328C" w:rsidRDefault="00A12EF3" w:rsidP="009C6A73">
      <w:pPr>
        <w:pStyle w:val="ListParagraph"/>
        <w:numPr>
          <w:ilvl w:val="0"/>
          <w:numId w:val="13"/>
        </w:numPr>
        <w:spacing w:after="120"/>
        <w:ind w:left="426"/>
        <w:jc w:val="both"/>
        <w:rPr>
          <w:rFonts w:ascii="Arial" w:hAnsi="Arial" w:cs="Arial"/>
          <w:lang w:val="en-GB"/>
        </w:rPr>
      </w:pPr>
      <w:r w:rsidRPr="008A328C">
        <w:rPr>
          <w:rFonts w:ascii="Arial" w:hAnsi="Arial" w:cs="Arial"/>
          <w:b/>
          <w:bCs/>
          <w:lang w:val="en-GB"/>
        </w:rPr>
        <w:t>90 airlines certified in 16 states</w:t>
      </w:r>
      <w:r w:rsidRPr="008A328C">
        <w:rPr>
          <w:rFonts w:ascii="Arial" w:hAnsi="Arial" w:cs="Arial"/>
          <w:lang w:val="en-GB"/>
        </w:rPr>
        <w:t xml:space="preserve"> (Afghanistan, Angola (with the exception of 2 airlines), Armenia, Congo (Brazzaville), Democratic Republic of the Congo, Djibouti, Equatorial Guinea, Eritrea, Kyrgyzstan, Liberia, Libya, Moldova (with the exception of 3 airlines), Nepal, São Tomé and Príncipe, Sierra Leone and Sudan), due to inadequate safety oversight by the aviation authorities from these states</w:t>
      </w:r>
    </w:p>
    <w:p w14:paraId="7646DCBA" w14:textId="721B389C" w:rsidR="00860485" w:rsidRDefault="002C05D8" w:rsidP="00D930D6">
      <w:pPr>
        <w:pStyle w:val="ListParagraph"/>
        <w:numPr>
          <w:ilvl w:val="0"/>
          <w:numId w:val="13"/>
        </w:numPr>
        <w:spacing w:after="120"/>
        <w:ind w:left="426"/>
        <w:jc w:val="both"/>
        <w:rPr>
          <w:rFonts w:ascii="Arial" w:hAnsi="Arial" w:cs="Arial"/>
          <w:lang w:val="en-GB"/>
        </w:rPr>
      </w:pPr>
      <w:r>
        <w:rPr>
          <w:rFonts w:ascii="Arial" w:hAnsi="Arial" w:cs="Arial"/>
          <w:b/>
          <w:lang w:val="en-GB"/>
        </w:rPr>
        <w:t>6</w:t>
      </w:r>
      <w:r w:rsidR="00860485" w:rsidRPr="009C6A73">
        <w:rPr>
          <w:rFonts w:ascii="Arial" w:hAnsi="Arial" w:cs="Arial"/>
          <w:b/>
          <w:lang w:val="en-GB"/>
        </w:rPr>
        <w:t xml:space="preserve"> individual airlines</w:t>
      </w:r>
      <w:r w:rsidR="00860485" w:rsidRPr="009C6A73">
        <w:rPr>
          <w:rFonts w:ascii="Arial" w:hAnsi="Arial" w:cs="Arial"/>
          <w:lang w:val="en-GB"/>
        </w:rPr>
        <w:t xml:space="preserve">, </w:t>
      </w:r>
      <w:r w:rsidR="008A328C" w:rsidRPr="008A328C">
        <w:rPr>
          <w:rFonts w:ascii="Arial" w:hAnsi="Arial" w:cs="Arial"/>
          <w:lang w:val="en-GB"/>
        </w:rPr>
        <w:t xml:space="preserve">based on serious safety deficiencies identified: </w:t>
      </w:r>
      <w:proofErr w:type="spellStart"/>
      <w:r w:rsidR="008A328C" w:rsidRPr="008A328C">
        <w:rPr>
          <w:rFonts w:ascii="Arial" w:hAnsi="Arial" w:cs="Arial"/>
          <w:lang w:val="en-GB"/>
        </w:rPr>
        <w:t>Avior</w:t>
      </w:r>
      <w:proofErr w:type="spellEnd"/>
      <w:r w:rsidR="008A328C" w:rsidRPr="008A328C">
        <w:rPr>
          <w:rFonts w:ascii="Arial" w:hAnsi="Arial" w:cs="Arial"/>
          <w:lang w:val="en-GB"/>
        </w:rPr>
        <w:t xml:space="preserve"> Airlines (Venezuela), Blue Wing Airlines (Suriname), Iran </w:t>
      </w:r>
      <w:proofErr w:type="spellStart"/>
      <w:r w:rsidR="008A328C" w:rsidRPr="008A328C">
        <w:rPr>
          <w:rFonts w:ascii="Arial" w:hAnsi="Arial" w:cs="Arial"/>
          <w:lang w:val="en-GB"/>
        </w:rPr>
        <w:t>Aseman</w:t>
      </w:r>
      <w:proofErr w:type="spellEnd"/>
      <w:r w:rsidR="008A328C" w:rsidRPr="008A328C">
        <w:rPr>
          <w:rFonts w:ascii="Arial" w:hAnsi="Arial" w:cs="Arial"/>
          <w:lang w:val="en-GB"/>
        </w:rPr>
        <w:t xml:space="preserve"> Airlines (Iran), Iraqi Airways (Iraq), Med-View Airlines (Nigeria) and Air Zimbabwe (Zimbabwe).</w:t>
      </w:r>
    </w:p>
    <w:p w14:paraId="178ECEFF" w14:textId="389DB247" w:rsidR="00860485" w:rsidRPr="009C6A73" w:rsidRDefault="005C4876" w:rsidP="009C6A73">
      <w:pPr>
        <w:pStyle w:val="ListParagraph"/>
        <w:numPr>
          <w:ilvl w:val="0"/>
          <w:numId w:val="13"/>
        </w:numPr>
        <w:spacing w:after="120"/>
        <w:ind w:left="426"/>
        <w:jc w:val="both"/>
        <w:rPr>
          <w:rFonts w:ascii="Arial" w:hAnsi="Arial" w:cs="Arial"/>
          <w:lang w:val="en-GB"/>
        </w:rPr>
      </w:pPr>
      <w:r>
        <w:rPr>
          <w:rFonts w:ascii="Arial" w:hAnsi="Arial" w:cs="Arial"/>
          <w:b/>
          <w:lang w:val="en-GB"/>
        </w:rPr>
        <w:t>3</w:t>
      </w:r>
      <w:r w:rsidR="009C6A73" w:rsidRPr="009C6A73">
        <w:rPr>
          <w:rFonts w:ascii="Arial" w:hAnsi="Arial" w:cs="Arial"/>
          <w:b/>
          <w:lang w:val="en-GB"/>
        </w:rPr>
        <w:t xml:space="preserve"> airlines are subject to operational restrictions</w:t>
      </w:r>
      <w:r w:rsidR="009C6A73" w:rsidRPr="009C6A73">
        <w:rPr>
          <w:rFonts w:ascii="Arial" w:hAnsi="Arial" w:cs="Arial"/>
          <w:lang w:val="en-GB"/>
        </w:rPr>
        <w:t xml:space="preserve"> and can only fly to the EU with specific aircraft types: </w:t>
      </w:r>
      <w:r w:rsidR="00045003" w:rsidRPr="00045003">
        <w:rPr>
          <w:rFonts w:ascii="Arial" w:hAnsi="Arial" w:cs="Arial"/>
          <w:lang w:val="en-GB"/>
        </w:rPr>
        <w:t xml:space="preserve">Air Service </w:t>
      </w:r>
      <w:proofErr w:type="spellStart"/>
      <w:r w:rsidR="00045003" w:rsidRPr="00045003">
        <w:rPr>
          <w:rFonts w:ascii="Arial" w:hAnsi="Arial" w:cs="Arial"/>
          <w:lang w:val="en-GB"/>
        </w:rPr>
        <w:t>Comores</w:t>
      </w:r>
      <w:proofErr w:type="spellEnd"/>
      <w:r w:rsidR="00045003" w:rsidRPr="00045003">
        <w:rPr>
          <w:rFonts w:ascii="Arial" w:hAnsi="Arial" w:cs="Arial"/>
          <w:lang w:val="en-GB"/>
        </w:rPr>
        <w:t xml:space="preserve"> (the Comoros), Iran Air (Iran) and Air </w:t>
      </w:r>
      <w:proofErr w:type="spellStart"/>
      <w:r w:rsidR="00045003" w:rsidRPr="00045003">
        <w:rPr>
          <w:rFonts w:ascii="Arial" w:hAnsi="Arial" w:cs="Arial"/>
          <w:lang w:val="en-GB"/>
        </w:rPr>
        <w:t>Koryo</w:t>
      </w:r>
      <w:proofErr w:type="spellEnd"/>
      <w:r w:rsidR="00045003" w:rsidRPr="00045003">
        <w:rPr>
          <w:rFonts w:ascii="Arial" w:hAnsi="Arial" w:cs="Arial"/>
          <w:lang w:val="en-GB"/>
        </w:rPr>
        <w:t xml:space="preserve"> (North Korea).</w:t>
      </w:r>
    </w:p>
    <w:p w14:paraId="5CA7D730" w14:textId="77777777" w:rsidR="005C4876" w:rsidRPr="00C43996" w:rsidRDefault="00860485" w:rsidP="005C4876">
      <w:pPr>
        <w:spacing w:after="120"/>
        <w:jc w:val="both"/>
        <w:rPr>
          <w:rFonts w:ascii="Arial" w:eastAsia="Calibri" w:hAnsi="Arial" w:cs="Arial"/>
          <w:sz w:val="22"/>
          <w:szCs w:val="22"/>
          <w:lang w:val="en-GB" w:eastAsia="en-US"/>
        </w:rPr>
      </w:pPr>
      <w:r w:rsidRPr="00C43996">
        <w:rPr>
          <w:rFonts w:ascii="Arial" w:eastAsia="Calibri" w:hAnsi="Arial" w:cs="Arial"/>
          <w:sz w:val="22"/>
          <w:szCs w:val="22"/>
          <w:lang w:val="en-GB" w:eastAsia="en-US"/>
        </w:rPr>
        <w:t>Members are kindly reminded that travel agents and tour operators have the obligation under Regulation 2111/2005 to bring the EU Air Safety List to the attention of the passenger.</w:t>
      </w:r>
    </w:p>
    <w:p w14:paraId="2DF74260" w14:textId="77777777" w:rsidR="00860485" w:rsidRPr="00C43996" w:rsidRDefault="00860485" w:rsidP="005C4876">
      <w:pPr>
        <w:spacing w:after="120"/>
        <w:jc w:val="both"/>
        <w:rPr>
          <w:rFonts w:ascii="Arial" w:eastAsia="Calibri" w:hAnsi="Arial" w:cs="Arial"/>
          <w:sz w:val="22"/>
          <w:szCs w:val="22"/>
          <w:lang w:val="en-GB" w:eastAsia="en-US"/>
        </w:rPr>
      </w:pPr>
      <w:r w:rsidRPr="00C43996">
        <w:rPr>
          <w:rFonts w:ascii="Arial" w:eastAsia="Calibri" w:hAnsi="Arial" w:cs="Arial"/>
          <w:sz w:val="22"/>
          <w:szCs w:val="22"/>
          <w:lang w:val="en-GB" w:eastAsia="en-US"/>
        </w:rPr>
        <w:t xml:space="preserve">Where the passenger has a contract with a tour operator for a flight operated outside of the EU by a carrier entered onto the EU Air Safety List, the passenger is entitled to re-routing or refund. </w:t>
      </w:r>
    </w:p>
    <w:sectPr w:rsidR="00860485" w:rsidRPr="00C43996" w:rsidSect="005C4876">
      <w:endnotePr>
        <w:numFmt w:val="decimal"/>
      </w:endnotePr>
      <w:type w:val="continuous"/>
      <w:pgSz w:w="11906" w:h="16838" w:code="9"/>
      <w:pgMar w:top="1259"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88731" w14:textId="77777777" w:rsidR="00CC1766" w:rsidRDefault="00CC1766">
      <w:r>
        <w:separator/>
      </w:r>
    </w:p>
  </w:endnote>
  <w:endnote w:type="continuationSeparator" w:id="0">
    <w:p w14:paraId="3C25CBCD" w14:textId="77777777" w:rsidR="00CC1766" w:rsidRDefault="00CC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0E64" w14:textId="77777777" w:rsidR="00E242D7" w:rsidRDefault="00E24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9C19D" w14:textId="77777777" w:rsidR="00E242D7" w:rsidRDefault="00E24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C7BD" w14:textId="77777777" w:rsidR="00E242D7" w:rsidRDefault="00E24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996">
      <w:rPr>
        <w:rStyle w:val="PageNumber"/>
        <w:noProof/>
      </w:rPr>
      <w:t>1</w:t>
    </w:r>
    <w:r>
      <w:rPr>
        <w:rStyle w:val="PageNumber"/>
      </w:rPr>
      <w:fldChar w:fldCharType="end"/>
    </w:r>
  </w:p>
  <w:p w14:paraId="081F7D59" w14:textId="77777777" w:rsidR="00E242D7" w:rsidRDefault="00E242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65B9C" w14:textId="77777777" w:rsidR="00CC1766" w:rsidRDefault="00CC1766">
      <w:r>
        <w:separator/>
      </w:r>
    </w:p>
  </w:footnote>
  <w:footnote w:type="continuationSeparator" w:id="0">
    <w:p w14:paraId="47A85FE4" w14:textId="77777777" w:rsidR="00CC1766" w:rsidRDefault="00CC1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64A"/>
    <w:multiLevelType w:val="hybridMultilevel"/>
    <w:tmpl w:val="9D64B522"/>
    <w:lvl w:ilvl="0" w:tplc="8A5C858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0FC0"/>
    <w:multiLevelType w:val="hybridMultilevel"/>
    <w:tmpl w:val="CFFEF0F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358C3"/>
    <w:multiLevelType w:val="hybridMultilevel"/>
    <w:tmpl w:val="000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1913"/>
    <w:multiLevelType w:val="hybridMultilevel"/>
    <w:tmpl w:val="674C277C"/>
    <w:lvl w:ilvl="0" w:tplc="9E2C900A">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72F7A"/>
    <w:multiLevelType w:val="hybridMultilevel"/>
    <w:tmpl w:val="54720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0347F"/>
    <w:multiLevelType w:val="hybridMultilevel"/>
    <w:tmpl w:val="4772316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661AF"/>
    <w:multiLevelType w:val="hybridMultilevel"/>
    <w:tmpl w:val="65586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8E5524"/>
    <w:multiLevelType w:val="hybridMultilevel"/>
    <w:tmpl w:val="FC4EE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B9178A"/>
    <w:multiLevelType w:val="hybridMultilevel"/>
    <w:tmpl w:val="EAF45890"/>
    <w:lvl w:ilvl="0" w:tplc="860871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56861"/>
    <w:multiLevelType w:val="hybridMultilevel"/>
    <w:tmpl w:val="BB5A0130"/>
    <w:lvl w:ilvl="0" w:tplc="2624BDC4">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35252"/>
    <w:multiLevelType w:val="hybridMultilevel"/>
    <w:tmpl w:val="92E0069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126C9"/>
    <w:multiLevelType w:val="hybridMultilevel"/>
    <w:tmpl w:val="48346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E21BD5"/>
    <w:multiLevelType w:val="hybridMultilevel"/>
    <w:tmpl w:val="E7AEC030"/>
    <w:lvl w:ilvl="0" w:tplc="2FDEA8C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4"/>
  </w:num>
  <w:num w:numId="6">
    <w:abstractNumId w:val="11"/>
  </w:num>
  <w:num w:numId="7">
    <w:abstractNumId w:val="6"/>
  </w:num>
  <w:num w:numId="8">
    <w:abstractNumId w:val="7"/>
  </w:num>
  <w:num w:numId="9">
    <w:abstractNumId w:val="3"/>
  </w:num>
  <w:num w:numId="10">
    <w:abstractNumId w:val="9"/>
  </w:num>
  <w:num w:numId="11">
    <w:abstractNumId w:val="8"/>
  </w:num>
  <w:num w:numId="12">
    <w:abstractNumId w:val="10"/>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53"/>
    <w:rsid w:val="000016A5"/>
    <w:rsid w:val="000227B8"/>
    <w:rsid w:val="00023BD6"/>
    <w:rsid w:val="00026468"/>
    <w:rsid w:val="0003137A"/>
    <w:rsid w:val="00034694"/>
    <w:rsid w:val="00040AA5"/>
    <w:rsid w:val="00045003"/>
    <w:rsid w:val="00045506"/>
    <w:rsid w:val="00045547"/>
    <w:rsid w:val="0004676B"/>
    <w:rsid w:val="00046BBC"/>
    <w:rsid w:val="0005125A"/>
    <w:rsid w:val="0005232D"/>
    <w:rsid w:val="00062CB9"/>
    <w:rsid w:val="000635CE"/>
    <w:rsid w:val="00063B54"/>
    <w:rsid w:val="000700DB"/>
    <w:rsid w:val="000743F3"/>
    <w:rsid w:val="00075557"/>
    <w:rsid w:val="00081E18"/>
    <w:rsid w:val="00083E4E"/>
    <w:rsid w:val="00085B5F"/>
    <w:rsid w:val="00090C5F"/>
    <w:rsid w:val="0009219D"/>
    <w:rsid w:val="00092E9F"/>
    <w:rsid w:val="000946B2"/>
    <w:rsid w:val="00095AE8"/>
    <w:rsid w:val="000964E3"/>
    <w:rsid w:val="00097428"/>
    <w:rsid w:val="0009770B"/>
    <w:rsid w:val="00097F77"/>
    <w:rsid w:val="000A292E"/>
    <w:rsid w:val="000A4D1D"/>
    <w:rsid w:val="000A736D"/>
    <w:rsid w:val="000B10BC"/>
    <w:rsid w:val="000B2DC8"/>
    <w:rsid w:val="000B3CF3"/>
    <w:rsid w:val="000B401F"/>
    <w:rsid w:val="000B69D1"/>
    <w:rsid w:val="000B6D7C"/>
    <w:rsid w:val="000B7603"/>
    <w:rsid w:val="000C34D1"/>
    <w:rsid w:val="000C4664"/>
    <w:rsid w:val="000C60F0"/>
    <w:rsid w:val="000D273B"/>
    <w:rsid w:val="000D2831"/>
    <w:rsid w:val="000D3F34"/>
    <w:rsid w:val="000D7353"/>
    <w:rsid w:val="000D7378"/>
    <w:rsid w:val="000D79AB"/>
    <w:rsid w:val="000E1A2E"/>
    <w:rsid w:val="000F007C"/>
    <w:rsid w:val="000F1A2D"/>
    <w:rsid w:val="000F3E74"/>
    <w:rsid w:val="000F4608"/>
    <w:rsid w:val="000F6E4A"/>
    <w:rsid w:val="000F7DFD"/>
    <w:rsid w:val="00100671"/>
    <w:rsid w:val="00111F42"/>
    <w:rsid w:val="001141E5"/>
    <w:rsid w:val="001176FD"/>
    <w:rsid w:val="00121E79"/>
    <w:rsid w:val="00122259"/>
    <w:rsid w:val="00122843"/>
    <w:rsid w:val="00122C18"/>
    <w:rsid w:val="00125060"/>
    <w:rsid w:val="00125A65"/>
    <w:rsid w:val="00126460"/>
    <w:rsid w:val="00126563"/>
    <w:rsid w:val="0013304C"/>
    <w:rsid w:val="00140926"/>
    <w:rsid w:val="00140BCB"/>
    <w:rsid w:val="00147FEB"/>
    <w:rsid w:val="00157E22"/>
    <w:rsid w:val="001610D1"/>
    <w:rsid w:val="0016130C"/>
    <w:rsid w:val="001617F0"/>
    <w:rsid w:val="00161D50"/>
    <w:rsid w:val="001647B5"/>
    <w:rsid w:val="0016508B"/>
    <w:rsid w:val="00171263"/>
    <w:rsid w:val="00182A78"/>
    <w:rsid w:val="00191C49"/>
    <w:rsid w:val="001A067B"/>
    <w:rsid w:val="001A1257"/>
    <w:rsid w:val="001A3401"/>
    <w:rsid w:val="001A3703"/>
    <w:rsid w:val="001A4737"/>
    <w:rsid w:val="001A4D94"/>
    <w:rsid w:val="001A5AB7"/>
    <w:rsid w:val="001A7409"/>
    <w:rsid w:val="001A7BEF"/>
    <w:rsid w:val="001B0A4F"/>
    <w:rsid w:val="001B1B95"/>
    <w:rsid w:val="001B4B6F"/>
    <w:rsid w:val="001B58AC"/>
    <w:rsid w:val="001B6B0B"/>
    <w:rsid w:val="001B7536"/>
    <w:rsid w:val="001B7721"/>
    <w:rsid w:val="001C1973"/>
    <w:rsid w:val="001D17BC"/>
    <w:rsid w:val="001D3298"/>
    <w:rsid w:val="001D48EB"/>
    <w:rsid w:val="001D50B9"/>
    <w:rsid w:val="001D5DFD"/>
    <w:rsid w:val="001E559A"/>
    <w:rsid w:val="001E7527"/>
    <w:rsid w:val="001F0806"/>
    <w:rsid w:val="001F10F6"/>
    <w:rsid w:val="001F5379"/>
    <w:rsid w:val="0020305C"/>
    <w:rsid w:val="00204BFD"/>
    <w:rsid w:val="0021279A"/>
    <w:rsid w:val="00212C0E"/>
    <w:rsid w:val="00215929"/>
    <w:rsid w:val="00223476"/>
    <w:rsid w:val="00232D9E"/>
    <w:rsid w:val="00233F9A"/>
    <w:rsid w:val="0023540D"/>
    <w:rsid w:val="0024002D"/>
    <w:rsid w:val="00240C87"/>
    <w:rsid w:val="00241293"/>
    <w:rsid w:val="00241C0C"/>
    <w:rsid w:val="002464BA"/>
    <w:rsid w:val="002519AF"/>
    <w:rsid w:val="00254925"/>
    <w:rsid w:val="0025701D"/>
    <w:rsid w:val="002639CE"/>
    <w:rsid w:val="0026610B"/>
    <w:rsid w:val="002664CD"/>
    <w:rsid w:val="00267F40"/>
    <w:rsid w:val="00270DC6"/>
    <w:rsid w:val="002715F0"/>
    <w:rsid w:val="00273964"/>
    <w:rsid w:val="002748E1"/>
    <w:rsid w:val="00283827"/>
    <w:rsid w:val="00283F6A"/>
    <w:rsid w:val="0028420C"/>
    <w:rsid w:val="00284F8B"/>
    <w:rsid w:val="00286706"/>
    <w:rsid w:val="00286FE8"/>
    <w:rsid w:val="002870C6"/>
    <w:rsid w:val="002932FB"/>
    <w:rsid w:val="0029424C"/>
    <w:rsid w:val="00294866"/>
    <w:rsid w:val="00296122"/>
    <w:rsid w:val="00296888"/>
    <w:rsid w:val="002A0051"/>
    <w:rsid w:val="002A076A"/>
    <w:rsid w:val="002A5827"/>
    <w:rsid w:val="002A606C"/>
    <w:rsid w:val="002B25C8"/>
    <w:rsid w:val="002B656D"/>
    <w:rsid w:val="002B6CF8"/>
    <w:rsid w:val="002B7160"/>
    <w:rsid w:val="002C05D8"/>
    <w:rsid w:val="002C4527"/>
    <w:rsid w:val="002C5203"/>
    <w:rsid w:val="002C5AC0"/>
    <w:rsid w:val="002D07E9"/>
    <w:rsid w:val="002E4E40"/>
    <w:rsid w:val="002E567E"/>
    <w:rsid w:val="002E5BC9"/>
    <w:rsid w:val="002F25C1"/>
    <w:rsid w:val="002F36F1"/>
    <w:rsid w:val="002F3F7F"/>
    <w:rsid w:val="002F54DC"/>
    <w:rsid w:val="003039F5"/>
    <w:rsid w:val="00305F34"/>
    <w:rsid w:val="0030746E"/>
    <w:rsid w:val="003103C7"/>
    <w:rsid w:val="00313D18"/>
    <w:rsid w:val="00316A26"/>
    <w:rsid w:val="00316F1C"/>
    <w:rsid w:val="00317B21"/>
    <w:rsid w:val="003250FF"/>
    <w:rsid w:val="00326256"/>
    <w:rsid w:val="003307D4"/>
    <w:rsid w:val="00332608"/>
    <w:rsid w:val="0034221A"/>
    <w:rsid w:val="00345ADA"/>
    <w:rsid w:val="003460B1"/>
    <w:rsid w:val="00346446"/>
    <w:rsid w:val="00355D78"/>
    <w:rsid w:val="0035656B"/>
    <w:rsid w:val="00356CB5"/>
    <w:rsid w:val="0036026A"/>
    <w:rsid w:val="0036345F"/>
    <w:rsid w:val="00365848"/>
    <w:rsid w:val="003731DE"/>
    <w:rsid w:val="00375D32"/>
    <w:rsid w:val="00380970"/>
    <w:rsid w:val="003813B7"/>
    <w:rsid w:val="003827EA"/>
    <w:rsid w:val="00382EA9"/>
    <w:rsid w:val="003861FB"/>
    <w:rsid w:val="003862AC"/>
    <w:rsid w:val="0039014F"/>
    <w:rsid w:val="003928B9"/>
    <w:rsid w:val="003937E0"/>
    <w:rsid w:val="00393EA3"/>
    <w:rsid w:val="0039578E"/>
    <w:rsid w:val="003A18D3"/>
    <w:rsid w:val="003A260D"/>
    <w:rsid w:val="003A575A"/>
    <w:rsid w:val="003A7767"/>
    <w:rsid w:val="003B075A"/>
    <w:rsid w:val="003B07C7"/>
    <w:rsid w:val="003B6A78"/>
    <w:rsid w:val="003C6169"/>
    <w:rsid w:val="003C7F70"/>
    <w:rsid w:val="003D25C4"/>
    <w:rsid w:val="003D6AB9"/>
    <w:rsid w:val="003D74C1"/>
    <w:rsid w:val="003E0197"/>
    <w:rsid w:val="003E13FB"/>
    <w:rsid w:val="003E1449"/>
    <w:rsid w:val="003E506F"/>
    <w:rsid w:val="003E7EE7"/>
    <w:rsid w:val="003F1B09"/>
    <w:rsid w:val="003F420B"/>
    <w:rsid w:val="003F66C9"/>
    <w:rsid w:val="003F77D7"/>
    <w:rsid w:val="00407D44"/>
    <w:rsid w:val="0041076C"/>
    <w:rsid w:val="00415C33"/>
    <w:rsid w:val="00415E5D"/>
    <w:rsid w:val="00416C23"/>
    <w:rsid w:val="004241AD"/>
    <w:rsid w:val="00430B0E"/>
    <w:rsid w:val="00432D1A"/>
    <w:rsid w:val="00434124"/>
    <w:rsid w:val="004421E5"/>
    <w:rsid w:val="00443359"/>
    <w:rsid w:val="004551BF"/>
    <w:rsid w:val="004653B7"/>
    <w:rsid w:val="00465EAE"/>
    <w:rsid w:val="00466EFB"/>
    <w:rsid w:val="004703B9"/>
    <w:rsid w:val="00471363"/>
    <w:rsid w:val="00474941"/>
    <w:rsid w:val="00474C7E"/>
    <w:rsid w:val="00476DAF"/>
    <w:rsid w:val="00477E43"/>
    <w:rsid w:val="004834FD"/>
    <w:rsid w:val="00483941"/>
    <w:rsid w:val="00494852"/>
    <w:rsid w:val="00496BE1"/>
    <w:rsid w:val="004A0F03"/>
    <w:rsid w:val="004B4374"/>
    <w:rsid w:val="004B4A8C"/>
    <w:rsid w:val="004B6491"/>
    <w:rsid w:val="004B6BA0"/>
    <w:rsid w:val="004C11BD"/>
    <w:rsid w:val="004C1C0D"/>
    <w:rsid w:val="004C526C"/>
    <w:rsid w:val="004C552F"/>
    <w:rsid w:val="004D5A09"/>
    <w:rsid w:val="004E08F2"/>
    <w:rsid w:val="004E3344"/>
    <w:rsid w:val="004E5E04"/>
    <w:rsid w:val="004E69DE"/>
    <w:rsid w:val="004E7D3D"/>
    <w:rsid w:val="004F2611"/>
    <w:rsid w:val="004F3306"/>
    <w:rsid w:val="00500449"/>
    <w:rsid w:val="00510B15"/>
    <w:rsid w:val="00511427"/>
    <w:rsid w:val="00513EBC"/>
    <w:rsid w:val="00522D8B"/>
    <w:rsid w:val="00523565"/>
    <w:rsid w:val="00523DE6"/>
    <w:rsid w:val="005275E1"/>
    <w:rsid w:val="005316C4"/>
    <w:rsid w:val="00534EE5"/>
    <w:rsid w:val="005413A4"/>
    <w:rsid w:val="00546BDD"/>
    <w:rsid w:val="00557D2D"/>
    <w:rsid w:val="00560657"/>
    <w:rsid w:val="00562EE2"/>
    <w:rsid w:val="00566BC6"/>
    <w:rsid w:val="0057347F"/>
    <w:rsid w:val="00573777"/>
    <w:rsid w:val="00573A60"/>
    <w:rsid w:val="00574BB8"/>
    <w:rsid w:val="0057707E"/>
    <w:rsid w:val="00577936"/>
    <w:rsid w:val="00580423"/>
    <w:rsid w:val="0058045F"/>
    <w:rsid w:val="0058092C"/>
    <w:rsid w:val="00586506"/>
    <w:rsid w:val="00586857"/>
    <w:rsid w:val="0059136D"/>
    <w:rsid w:val="005A322E"/>
    <w:rsid w:val="005A6452"/>
    <w:rsid w:val="005B048B"/>
    <w:rsid w:val="005B37DB"/>
    <w:rsid w:val="005B47AC"/>
    <w:rsid w:val="005C218B"/>
    <w:rsid w:val="005C4876"/>
    <w:rsid w:val="005C6297"/>
    <w:rsid w:val="005D166D"/>
    <w:rsid w:val="005D2A24"/>
    <w:rsid w:val="005D3E30"/>
    <w:rsid w:val="005D560A"/>
    <w:rsid w:val="005D58E0"/>
    <w:rsid w:val="005D77FC"/>
    <w:rsid w:val="005E0E5C"/>
    <w:rsid w:val="005E2352"/>
    <w:rsid w:val="005E2F6E"/>
    <w:rsid w:val="005E3D9C"/>
    <w:rsid w:val="005F1190"/>
    <w:rsid w:val="005F51D1"/>
    <w:rsid w:val="005F6A8B"/>
    <w:rsid w:val="00605475"/>
    <w:rsid w:val="0061176C"/>
    <w:rsid w:val="00611882"/>
    <w:rsid w:val="00612336"/>
    <w:rsid w:val="0061362E"/>
    <w:rsid w:val="00620412"/>
    <w:rsid w:val="006217BF"/>
    <w:rsid w:val="006423A1"/>
    <w:rsid w:val="006446FF"/>
    <w:rsid w:val="006472A9"/>
    <w:rsid w:val="0065171A"/>
    <w:rsid w:val="00653CAB"/>
    <w:rsid w:val="006551EF"/>
    <w:rsid w:val="006558F9"/>
    <w:rsid w:val="0065799D"/>
    <w:rsid w:val="006616AE"/>
    <w:rsid w:val="00663401"/>
    <w:rsid w:val="006710B5"/>
    <w:rsid w:val="006741BA"/>
    <w:rsid w:val="006835DD"/>
    <w:rsid w:val="006877FB"/>
    <w:rsid w:val="006938C2"/>
    <w:rsid w:val="00694CD3"/>
    <w:rsid w:val="00694FE0"/>
    <w:rsid w:val="00696498"/>
    <w:rsid w:val="00697A7D"/>
    <w:rsid w:val="006A4B5D"/>
    <w:rsid w:val="006B709B"/>
    <w:rsid w:val="006C1219"/>
    <w:rsid w:val="006C6487"/>
    <w:rsid w:val="006D1364"/>
    <w:rsid w:val="006D1B41"/>
    <w:rsid w:val="006D33E5"/>
    <w:rsid w:val="006D5226"/>
    <w:rsid w:val="006D730F"/>
    <w:rsid w:val="006E2615"/>
    <w:rsid w:val="006E5947"/>
    <w:rsid w:val="006F1CE3"/>
    <w:rsid w:val="006F648A"/>
    <w:rsid w:val="00700542"/>
    <w:rsid w:val="0070391C"/>
    <w:rsid w:val="007060CE"/>
    <w:rsid w:val="007106A8"/>
    <w:rsid w:val="007113A5"/>
    <w:rsid w:val="00715601"/>
    <w:rsid w:val="00716E9E"/>
    <w:rsid w:val="00717950"/>
    <w:rsid w:val="00717CFC"/>
    <w:rsid w:val="007201C3"/>
    <w:rsid w:val="00723348"/>
    <w:rsid w:val="00725CD8"/>
    <w:rsid w:val="00734F09"/>
    <w:rsid w:val="00734FB9"/>
    <w:rsid w:val="0074050D"/>
    <w:rsid w:val="007407E4"/>
    <w:rsid w:val="00753A66"/>
    <w:rsid w:val="00754E3A"/>
    <w:rsid w:val="007601E8"/>
    <w:rsid w:val="00760EFA"/>
    <w:rsid w:val="00762428"/>
    <w:rsid w:val="00763293"/>
    <w:rsid w:val="00764436"/>
    <w:rsid w:val="00765825"/>
    <w:rsid w:val="00765FCC"/>
    <w:rsid w:val="007743D2"/>
    <w:rsid w:val="007745FF"/>
    <w:rsid w:val="00776973"/>
    <w:rsid w:val="00781D20"/>
    <w:rsid w:val="0079286E"/>
    <w:rsid w:val="0079476F"/>
    <w:rsid w:val="007A034C"/>
    <w:rsid w:val="007A289A"/>
    <w:rsid w:val="007A48C3"/>
    <w:rsid w:val="007B016F"/>
    <w:rsid w:val="007B13FC"/>
    <w:rsid w:val="007B19BF"/>
    <w:rsid w:val="007B1B59"/>
    <w:rsid w:val="007B2DA6"/>
    <w:rsid w:val="007B456D"/>
    <w:rsid w:val="007C6BB1"/>
    <w:rsid w:val="007D1A53"/>
    <w:rsid w:val="007D4938"/>
    <w:rsid w:val="007D51B9"/>
    <w:rsid w:val="007D74EC"/>
    <w:rsid w:val="007E2880"/>
    <w:rsid w:val="007F5960"/>
    <w:rsid w:val="008008FC"/>
    <w:rsid w:val="008016AA"/>
    <w:rsid w:val="008051BA"/>
    <w:rsid w:val="00806A53"/>
    <w:rsid w:val="00810FB7"/>
    <w:rsid w:val="00813784"/>
    <w:rsid w:val="00813F2F"/>
    <w:rsid w:val="00815254"/>
    <w:rsid w:val="008159B9"/>
    <w:rsid w:val="00816C1D"/>
    <w:rsid w:val="00816DCD"/>
    <w:rsid w:val="0082370D"/>
    <w:rsid w:val="0082696E"/>
    <w:rsid w:val="00831560"/>
    <w:rsid w:val="00835268"/>
    <w:rsid w:val="008402BA"/>
    <w:rsid w:val="00847948"/>
    <w:rsid w:val="00860485"/>
    <w:rsid w:val="00864987"/>
    <w:rsid w:val="0086669D"/>
    <w:rsid w:val="00870079"/>
    <w:rsid w:val="00871328"/>
    <w:rsid w:val="008729A3"/>
    <w:rsid w:val="00876B75"/>
    <w:rsid w:val="008839BD"/>
    <w:rsid w:val="008840DC"/>
    <w:rsid w:val="008867B3"/>
    <w:rsid w:val="00887665"/>
    <w:rsid w:val="00897429"/>
    <w:rsid w:val="008A1402"/>
    <w:rsid w:val="008A328C"/>
    <w:rsid w:val="008A44B5"/>
    <w:rsid w:val="008A4B5A"/>
    <w:rsid w:val="008B25C8"/>
    <w:rsid w:val="008B2714"/>
    <w:rsid w:val="008B434E"/>
    <w:rsid w:val="008C0B1A"/>
    <w:rsid w:val="008C2348"/>
    <w:rsid w:val="008C57AD"/>
    <w:rsid w:val="008C698C"/>
    <w:rsid w:val="008D1CDB"/>
    <w:rsid w:val="008D2EAA"/>
    <w:rsid w:val="008E39B1"/>
    <w:rsid w:val="008E51DA"/>
    <w:rsid w:val="008E63D4"/>
    <w:rsid w:val="008F4E54"/>
    <w:rsid w:val="008F62C6"/>
    <w:rsid w:val="008F6E9A"/>
    <w:rsid w:val="009021EE"/>
    <w:rsid w:val="0091675A"/>
    <w:rsid w:val="00921D96"/>
    <w:rsid w:val="009226CD"/>
    <w:rsid w:val="00927448"/>
    <w:rsid w:val="009312F1"/>
    <w:rsid w:val="0094288B"/>
    <w:rsid w:val="00944A7F"/>
    <w:rsid w:val="0095033F"/>
    <w:rsid w:val="009571A3"/>
    <w:rsid w:val="00957D81"/>
    <w:rsid w:val="009645FD"/>
    <w:rsid w:val="00965D50"/>
    <w:rsid w:val="00975106"/>
    <w:rsid w:val="00975417"/>
    <w:rsid w:val="0098053D"/>
    <w:rsid w:val="0098508F"/>
    <w:rsid w:val="009961B0"/>
    <w:rsid w:val="00996816"/>
    <w:rsid w:val="009A41F0"/>
    <w:rsid w:val="009A554E"/>
    <w:rsid w:val="009B238A"/>
    <w:rsid w:val="009B4BDA"/>
    <w:rsid w:val="009B5202"/>
    <w:rsid w:val="009C0CCF"/>
    <w:rsid w:val="009C1403"/>
    <w:rsid w:val="009C47E5"/>
    <w:rsid w:val="009C6A73"/>
    <w:rsid w:val="009D01C5"/>
    <w:rsid w:val="009D0EB8"/>
    <w:rsid w:val="009F0DF0"/>
    <w:rsid w:val="009F0EDD"/>
    <w:rsid w:val="009F324A"/>
    <w:rsid w:val="009F618C"/>
    <w:rsid w:val="00A04FB0"/>
    <w:rsid w:val="00A06FF6"/>
    <w:rsid w:val="00A12EF3"/>
    <w:rsid w:val="00A25AE8"/>
    <w:rsid w:val="00A267D3"/>
    <w:rsid w:val="00A277AC"/>
    <w:rsid w:val="00A31FBE"/>
    <w:rsid w:val="00A32F9D"/>
    <w:rsid w:val="00A33D1F"/>
    <w:rsid w:val="00A3730D"/>
    <w:rsid w:val="00A45C17"/>
    <w:rsid w:val="00A60B60"/>
    <w:rsid w:val="00A627E5"/>
    <w:rsid w:val="00A62A2A"/>
    <w:rsid w:val="00A64E51"/>
    <w:rsid w:val="00A65018"/>
    <w:rsid w:val="00A70069"/>
    <w:rsid w:val="00A73CFA"/>
    <w:rsid w:val="00A748AD"/>
    <w:rsid w:val="00A80C41"/>
    <w:rsid w:val="00A836AD"/>
    <w:rsid w:val="00A869EE"/>
    <w:rsid w:val="00A86FE4"/>
    <w:rsid w:val="00A9040B"/>
    <w:rsid w:val="00A97170"/>
    <w:rsid w:val="00A97E2C"/>
    <w:rsid w:val="00AA0DB3"/>
    <w:rsid w:val="00AA193C"/>
    <w:rsid w:val="00AA2095"/>
    <w:rsid w:val="00AA4988"/>
    <w:rsid w:val="00AA6CA8"/>
    <w:rsid w:val="00AB3F8B"/>
    <w:rsid w:val="00AB46A1"/>
    <w:rsid w:val="00AB5490"/>
    <w:rsid w:val="00AC157F"/>
    <w:rsid w:val="00AC3407"/>
    <w:rsid w:val="00AC5D31"/>
    <w:rsid w:val="00AD0C79"/>
    <w:rsid w:val="00AD26D1"/>
    <w:rsid w:val="00AD35CD"/>
    <w:rsid w:val="00AD3D67"/>
    <w:rsid w:val="00AD4893"/>
    <w:rsid w:val="00AE028A"/>
    <w:rsid w:val="00AE05FA"/>
    <w:rsid w:val="00AE7F37"/>
    <w:rsid w:val="00AF1708"/>
    <w:rsid w:val="00AF2B83"/>
    <w:rsid w:val="00AF606B"/>
    <w:rsid w:val="00AF76FA"/>
    <w:rsid w:val="00B0017A"/>
    <w:rsid w:val="00B00C09"/>
    <w:rsid w:val="00B02767"/>
    <w:rsid w:val="00B06DF3"/>
    <w:rsid w:val="00B12AF8"/>
    <w:rsid w:val="00B12DF2"/>
    <w:rsid w:val="00B13A37"/>
    <w:rsid w:val="00B17363"/>
    <w:rsid w:val="00B25A46"/>
    <w:rsid w:val="00B26297"/>
    <w:rsid w:val="00B262F4"/>
    <w:rsid w:val="00B26935"/>
    <w:rsid w:val="00B272D2"/>
    <w:rsid w:val="00B40355"/>
    <w:rsid w:val="00B468FC"/>
    <w:rsid w:val="00B56CB0"/>
    <w:rsid w:val="00B66699"/>
    <w:rsid w:val="00B6729E"/>
    <w:rsid w:val="00B67E3E"/>
    <w:rsid w:val="00B77EBC"/>
    <w:rsid w:val="00B82682"/>
    <w:rsid w:val="00B8429F"/>
    <w:rsid w:val="00B8517C"/>
    <w:rsid w:val="00B87AB3"/>
    <w:rsid w:val="00B92B10"/>
    <w:rsid w:val="00BA1AA2"/>
    <w:rsid w:val="00BA7561"/>
    <w:rsid w:val="00BA7F9E"/>
    <w:rsid w:val="00BB0A52"/>
    <w:rsid w:val="00BB3252"/>
    <w:rsid w:val="00BB6302"/>
    <w:rsid w:val="00BC28FE"/>
    <w:rsid w:val="00BC3D3F"/>
    <w:rsid w:val="00BC529E"/>
    <w:rsid w:val="00BD1334"/>
    <w:rsid w:val="00BE0B7D"/>
    <w:rsid w:val="00BE0BB4"/>
    <w:rsid w:val="00BE50DD"/>
    <w:rsid w:val="00BE671A"/>
    <w:rsid w:val="00BF0D11"/>
    <w:rsid w:val="00BF42B3"/>
    <w:rsid w:val="00BF58B2"/>
    <w:rsid w:val="00C03E9E"/>
    <w:rsid w:val="00C133CA"/>
    <w:rsid w:val="00C161F4"/>
    <w:rsid w:val="00C229B6"/>
    <w:rsid w:val="00C250D5"/>
    <w:rsid w:val="00C36BFC"/>
    <w:rsid w:val="00C41495"/>
    <w:rsid w:val="00C43996"/>
    <w:rsid w:val="00C4458B"/>
    <w:rsid w:val="00C47461"/>
    <w:rsid w:val="00C50628"/>
    <w:rsid w:val="00C51A5A"/>
    <w:rsid w:val="00C63421"/>
    <w:rsid w:val="00C65275"/>
    <w:rsid w:val="00C67554"/>
    <w:rsid w:val="00C678E9"/>
    <w:rsid w:val="00C76689"/>
    <w:rsid w:val="00C80C51"/>
    <w:rsid w:val="00C80E14"/>
    <w:rsid w:val="00C93CAD"/>
    <w:rsid w:val="00C969C2"/>
    <w:rsid w:val="00C97D09"/>
    <w:rsid w:val="00CA0F2D"/>
    <w:rsid w:val="00CA2E93"/>
    <w:rsid w:val="00CA672E"/>
    <w:rsid w:val="00CB141A"/>
    <w:rsid w:val="00CB6B52"/>
    <w:rsid w:val="00CB76E8"/>
    <w:rsid w:val="00CB7C3F"/>
    <w:rsid w:val="00CB7D4B"/>
    <w:rsid w:val="00CB7EA3"/>
    <w:rsid w:val="00CB7FF1"/>
    <w:rsid w:val="00CC1766"/>
    <w:rsid w:val="00CC2BCC"/>
    <w:rsid w:val="00CD4130"/>
    <w:rsid w:val="00CD45E8"/>
    <w:rsid w:val="00CF2C6F"/>
    <w:rsid w:val="00CF44A6"/>
    <w:rsid w:val="00D01904"/>
    <w:rsid w:val="00D01F1F"/>
    <w:rsid w:val="00D12BDE"/>
    <w:rsid w:val="00D163D2"/>
    <w:rsid w:val="00D16CEC"/>
    <w:rsid w:val="00D177B4"/>
    <w:rsid w:val="00D24336"/>
    <w:rsid w:val="00D25DF5"/>
    <w:rsid w:val="00D310D6"/>
    <w:rsid w:val="00D355B8"/>
    <w:rsid w:val="00D361E1"/>
    <w:rsid w:val="00D42A13"/>
    <w:rsid w:val="00D51DCE"/>
    <w:rsid w:val="00D52CE2"/>
    <w:rsid w:val="00D54199"/>
    <w:rsid w:val="00D64FC2"/>
    <w:rsid w:val="00D67DB0"/>
    <w:rsid w:val="00D71EA4"/>
    <w:rsid w:val="00D80144"/>
    <w:rsid w:val="00D80731"/>
    <w:rsid w:val="00D80F8D"/>
    <w:rsid w:val="00D858B3"/>
    <w:rsid w:val="00D9045E"/>
    <w:rsid w:val="00D90853"/>
    <w:rsid w:val="00D926E7"/>
    <w:rsid w:val="00D930D6"/>
    <w:rsid w:val="00DA4284"/>
    <w:rsid w:val="00DA5FA5"/>
    <w:rsid w:val="00DA7EA8"/>
    <w:rsid w:val="00DB24B0"/>
    <w:rsid w:val="00DB28E5"/>
    <w:rsid w:val="00DC3921"/>
    <w:rsid w:val="00DC459A"/>
    <w:rsid w:val="00DC62BB"/>
    <w:rsid w:val="00DC7E07"/>
    <w:rsid w:val="00DD5B69"/>
    <w:rsid w:val="00DD7813"/>
    <w:rsid w:val="00DE19A6"/>
    <w:rsid w:val="00DE328C"/>
    <w:rsid w:val="00DE6087"/>
    <w:rsid w:val="00DE6642"/>
    <w:rsid w:val="00DF073E"/>
    <w:rsid w:val="00DF2728"/>
    <w:rsid w:val="00DF2D1E"/>
    <w:rsid w:val="00DF2DC1"/>
    <w:rsid w:val="00DF5AD0"/>
    <w:rsid w:val="00DF62BB"/>
    <w:rsid w:val="00E02338"/>
    <w:rsid w:val="00E03EA7"/>
    <w:rsid w:val="00E03F55"/>
    <w:rsid w:val="00E05D38"/>
    <w:rsid w:val="00E10D67"/>
    <w:rsid w:val="00E11FC1"/>
    <w:rsid w:val="00E12351"/>
    <w:rsid w:val="00E14479"/>
    <w:rsid w:val="00E1466F"/>
    <w:rsid w:val="00E15D79"/>
    <w:rsid w:val="00E242D7"/>
    <w:rsid w:val="00E26917"/>
    <w:rsid w:val="00E32F48"/>
    <w:rsid w:val="00E347B6"/>
    <w:rsid w:val="00E34F2E"/>
    <w:rsid w:val="00E36C17"/>
    <w:rsid w:val="00E40966"/>
    <w:rsid w:val="00E40B4F"/>
    <w:rsid w:val="00E52D62"/>
    <w:rsid w:val="00E53831"/>
    <w:rsid w:val="00E540AA"/>
    <w:rsid w:val="00E65A47"/>
    <w:rsid w:val="00E65C22"/>
    <w:rsid w:val="00E66CBD"/>
    <w:rsid w:val="00E71E33"/>
    <w:rsid w:val="00E72C4A"/>
    <w:rsid w:val="00E72EDF"/>
    <w:rsid w:val="00E7511C"/>
    <w:rsid w:val="00E7609B"/>
    <w:rsid w:val="00E850E9"/>
    <w:rsid w:val="00E91289"/>
    <w:rsid w:val="00E96268"/>
    <w:rsid w:val="00E96387"/>
    <w:rsid w:val="00E9758C"/>
    <w:rsid w:val="00E976B4"/>
    <w:rsid w:val="00EA087E"/>
    <w:rsid w:val="00EA2C72"/>
    <w:rsid w:val="00EA3D70"/>
    <w:rsid w:val="00EA5EB2"/>
    <w:rsid w:val="00EA6B06"/>
    <w:rsid w:val="00EA70F7"/>
    <w:rsid w:val="00EB1E0D"/>
    <w:rsid w:val="00EB7F76"/>
    <w:rsid w:val="00EC2E1D"/>
    <w:rsid w:val="00EC2F61"/>
    <w:rsid w:val="00EC3246"/>
    <w:rsid w:val="00EC701B"/>
    <w:rsid w:val="00EC73CA"/>
    <w:rsid w:val="00ED1871"/>
    <w:rsid w:val="00ED2253"/>
    <w:rsid w:val="00EE2ABF"/>
    <w:rsid w:val="00EE339A"/>
    <w:rsid w:val="00EE5F4C"/>
    <w:rsid w:val="00EE7192"/>
    <w:rsid w:val="00EF2E89"/>
    <w:rsid w:val="00EF3AC4"/>
    <w:rsid w:val="00EF3CE4"/>
    <w:rsid w:val="00EF53E1"/>
    <w:rsid w:val="00EF67B4"/>
    <w:rsid w:val="00F034F8"/>
    <w:rsid w:val="00F06109"/>
    <w:rsid w:val="00F14E96"/>
    <w:rsid w:val="00F21FCD"/>
    <w:rsid w:val="00F2261F"/>
    <w:rsid w:val="00F26F4A"/>
    <w:rsid w:val="00F2799E"/>
    <w:rsid w:val="00F30E4F"/>
    <w:rsid w:val="00F433B0"/>
    <w:rsid w:val="00F44462"/>
    <w:rsid w:val="00F523FF"/>
    <w:rsid w:val="00F548BA"/>
    <w:rsid w:val="00F54AE1"/>
    <w:rsid w:val="00F55F51"/>
    <w:rsid w:val="00F62748"/>
    <w:rsid w:val="00F66F44"/>
    <w:rsid w:val="00F7554D"/>
    <w:rsid w:val="00F76C87"/>
    <w:rsid w:val="00F76F9A"/>
    <w:rsid w:val="00F8326B"/>
    <w:rsid w:val="00F845B3"/>
    <w:rsid w:val="00F853C4"/>
    <w:rsid w:val="00F861D5"/>
    <w:rsid w:val="00F914DF"/>
    <w:rsid w:val="00F91CA2"/>
    <w:rsid w:val="00F92A2A"/>
    <w:rsid w:val="00F92F68"/>
    <w:rsid w:val="00F94C17"/>
    <w:rsid w:val="00F9741C"/>
    <w:rsid w:val="00FA2444"/>
    <w:rsid w:val="00FB1539"/>
    <w:rsid w:val="00FB39D4"/>
    <w:rsid w:val="00FC5715"/>
    <w:rsid w:val="00FC6080"/>
    <w:rsid w:val="00FC672E"/>
    <w:rsid w:val="00FC728C"/>
    <w:rsid w:val="00FC749F"/>
    <w:rsid w:val="00FC7AA9"/>
    <w:rsid w:val="00FE1869"/>
    <w:rsid w:val="00FE1E7C"/>
    <w:rsid w:val="00FE363C"/>
    <w:rsid w:val="00FF298B"/>
    <w:rsid w:val="00FF393F"/>
    <w:rsid w:val="00FF4979"/>
    <w:rsid w:val="00FF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AFCFB"/>
  <w15:docId w15:val="{0FB538D2-682F-4A7F-BDBD-D465E61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B7D"/>
    <w:rPr>
      <w:sz w:val="24"/>
      <w:szCs w:val="24"/>
      <w:lang w:val="fr-BE" w:eastAsia="fr-BE"/>
    </w:rPr>
  </w:style>
  <w:style w:type="paragraph" w:styleId="Heading1">
    <w:name w:val="heading 1"/>
    <w:basedOn w:val="Normal"/>
    <w:next w:val="Normal"/>
    <w:qFormat/>
    <w:pPr>
      <w:keepNext/>
      <w:pBdr>
        <w:bottom w:val="single" w:sz="4" w:space="1" w:color="auto"/>
      </w:pBdr>
      <w:ind w:left="720" w:hanging="720"/>
      <w:jc w:val="both"/>
      <w:outlineLvl w:val="0"/>
    </w:pPr>
    <w:rPr>
      <w:rFonts w:ascii="Arial" w:hAnsi="Arial" w:cs="Arial"/>
      <w:b/>
      <w:bCs/>
      <w:sz w:val="22"/>
      <w:lang w:val="de-DE"/>
    </w:rPr>
  </w:style>
  <w:style w:type="paragraph" w:styleId="Heading2">
    <w:name w:val="heading 2"/>
    <w:basedOn w:val="Normal"/>
    <w:next w:val="Normal"/>
    <w:qFormat/>
    <w:pPr>
      <w:keepNext/>
      <w:pBdr>
        <w:bottom w:val="single" w:sz="4" w:space="0" w:color="auto"/>
      </w:pBdr>
      <w:tabs>
        <w:tab w:val="left" w:pos="900"/>
      </w:tabs>
      <w:autoSpaceDE w:val="0"/>
      <w:autoSpaceDN w:val="0"/>
      <w:adjustRightInd w:val="0"/>
      <w:ind w:left="540" w:hanging="540"/>
      <w:jc w:val="both"/>
      <w:outlineLvl w:val="1"/>
    </w:pPr>
    <w:rPr>
      <w:rFonts w:ascii="Arial" w:hAnsi="Arial" w:cs="Arial"/>
      <w:b/>
      <w:bCs/>
      <w:sz w:val="22"/>
      <w:szCs w:val="22"/>
      <w:lang w:val="en-US"/>
    </w:rPr>
  </w:style>
  <w:style w:type="paragraph" w:styleId="Heading3">
    <w:name w:val="heading 3"/>
    <w:basedOn w:val="Normal"/>
    <w:next w:val="Normal"/>
    <w:qFormat/>
    <w:pPr>
      <w:keepNext/>
      <w:jc w:val="both"/>
      <w:outlineLvl w:val="2"/>
    </w:pPr>
    <w:rPr>
      <w:rFonts w:ascii="Arial" w:hAnsi="Arial" w:cs="Arial"/>
      <w:bCs/>
      <w:sz w:val="22"/>
      <w:u w:val="single"/>
      <w:lang w:val="en-US"/>
    </w:rPr>
  </w:style>
  <w:style w:type="paragraph" w:styleId="Heading4">
    <w:name w:val="heading 4"/>
    <w:basedOn w:val="Normal"/>
    <w:next w:val="Normal"/>
    <w:qFormat/>
    <w:pPr>
      <w:keepNext/>
      <w:overflowPunct w:val="0"/>
      <w:autoSpaceDE w:val="0"/>
      <w:autoSpaceDN w:val="0"/>
      <w:adjustRightInd w:val="0"/>
      <w:spacing w:before="120"/>
      <w:ind w:left="6096"/>
      <w:jc w:val="both"/>
      <w:textAlignment w:val="baseline"/>
      <w:outlineLvl w:val="3"/>
    </w:pPr>
    <w:rPr>
      <w:rFonts w:ascii="Arial" w:hAnsi="Arial"/>
      <w:sz w:val="22"/>
      <w:szCs w:val="20"/>
      <w:u w:val="single"/>
      <w:lang w:val="en-GB" w:eastAsia="en-US"/>
    </w:rPr>
  </w:style>
  <w:style w:type="paragraph" w:styleId="Heading5">
    <w:name w:val="heading 5"/>
    <w:basedOn w:val="Normal"/>
    <w:next w:val="Normal"/>
    <w:qFormat/>
    <w:pPr>
      <w:keepNext/>
      <w:jc w:val="both"/>
      <w:outlineLvl w:val="4"/>
    </w:pPr>
    <w:rPr>
      <w:rFonts w:ascii="Arial" w:hAnsi="Arial" w:cs="Arial"/>
      <w:b/>
      <w:sz w:val="22"/>
      <w:lang w:val="en-US"/>
    </w:rPr>
  </w:style>
  <w:style w:type="paragraph" w:styleId="Heading6">
    <w:name w:val="heading 6"/>
    <w:basedOn w:val="Normal"/>
    <w:next w:val="Normal"/>
    <w:qFormat/>
    <w:pPr>
      <w:keepNext/>
      <w:jc w:val="both"/>
      <w:outlineLvl w:val="5"/>
    </w:pPr>
    <w:rPr>
      <w:rFonts w:ascii="Arial" w:hAnsi="Arial" w:cs="Arial"/>
      <w:bCs/>
      <w:i/>
      <w:iCs/>
      <w:color w:val="FF0000"/>
      <w:sz w:val="22"/>
      <w:lang w:val="en-US"/>
    </w:rPr>
  </w:style>
  <w:style w:type="paragraph" w:styleId="Heading7">
    <w:name w:val="heading 7"/>
    <w:basedOn w:val="Normal"/>
    <w:next w:val="Normal"/>
    <w:qFormat/>
    <w:pPr>
      <w:keepNext/>
      <w:jc w:val="both"/>
      <w:outlineLvl w:val="6"/>
    </w:pPr>
    <w:rPr>
      <w:rFonts w:ascii="Arial" w:hAnsi="Arial" w:cs="Arial"/>
      <w:bCs/>
      <w:i/>
      <w:iCs/>
      <w:sz w:val="22"/>
      <w:lang w:val="en-GB"/>
    </w:rPr>
  </w:style>
  <w:style w:type="paragraph" w:styleId="Heading8">
    <w:name w:val="heading 8"/>
    <w:basedOn w:val="Normal"/>
    <w:next w:val="Normal"/>
    <w:qFormat/>
    <w:pPr>
      <w:keepNext/>
      <w:jc w:val="center"/>
      <w:outlineLvl w:val="7"/>
    </w:pPr>
    <w:rPr>
      <w:rFonts w:ascii="Arial" w:hAnsi="Arial" w:cs="Arial"/>
      <w:b/>
      <w:sz w:val="22"/>
      <w:lang w:val="en-GB"/>
    </w:rPr>
  </w:style>
  <w:style w:type="paragraph" w:styleId="Heading9">
    <w:name w:val="heading 9"/>
    <w:basedOn w:val="Normal"/>
    <w:next w:val="Normal"/>
    <w:qFormat/>
    <w:pPr>
      <w:keepNext/>
      <w:outlineLvl w:val="8"/>
    </w:pPr>
    <w:rPr>
      <w:rFonts w:ascii="Arial" w:hAnsi="Arial" w:cs="Arial"/>
      <w:i/>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cs="Arial"/>
      <w:sz w:val="22"/>
      <w:lang w:val="en-US"/>
    </w:rPr>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paragraph" w:styleId="BodyTextIndent">
    <w:name w:val="Body Text Indent"/>
    <w:basedOn w:val="Normal"/>
    <w:pPr>
      <w:ind w:left="540" w:hanging="540"/>
      <w:jc w:val="both"/>
    </w:pPr>
    <w:rPr>
      <w:rFonts w:ascii="Arial" w:hAnsi="Arial" w:cs="Arial"/>
      <w:sz w:val="22"/>
      <w:szCs w:val="20"/>
      <w:lang w:val="en-US"/>
    </w:rPr>
  </w:style>
  <w:style w:type="paragraph" w:styleId="BodyText2">
    <w:name w:val="Body Text 2"/>
    <w:basedOn w:val="Normal"/>
    <w:pPr>
      <w:overflowPunct w:val="0"/>
      <w:autoSpaceDE w:val="0"/>
      <w:autoSpaceDN w:val="0"/>
      <w:adjustRightInd w:val="0"/>
      <w:textAlignment w:val="baseline"/>
    </w:pPr>
    <w:rPr>
      <w:rFonts w:ascii="Arial" w:hAnsi="Arial"/>
      <w:sz w:val="20"/>
      <w:szCs w:val="20"/>
      <w:lang w:val="en-GB" w:eastAsia="en-US"/>
    </w:rPr>
  </w:style>
  <w:style w:type="paragraph" w:customStyle="1" w:styleId="Personnequisigne">
    <w:name w:val="Personne qui signe"/>
    <w:basedOn w:val="Normal"/>
    <w:next w:val="Normal"/>
    <w:pPr>
      <w:tabs>
        <w:tab w:val="left" w:pos="4253"/>
      </w:tabs>
    </w:pPr>
    <w:rPr>
      <w:i/>
      <w:szCs w:val="20"/>
      <w:lang w:val="en-GB" w:eastAsia="en-US"/>
    </w:rPr>
  </w:style>
  <w:style w:type="paragraph" w:styleId="BodyText3">
    <w:name w:val="Body Text 3"/>
    <w:basedOn w:val="Normal"/>
    <w:pPr>
      <w:jc w:val="both"/>
    </w:pPr>
    <w:rPr>
      <w:rFonts w:ascii="Arial" w:hAnsi="Arial" w:cs="Arial"/>
      <w:bCs/>
      <w:i/>
      <w:color w:val="FF0000"/>
      <w:sz w:val="22"/>
      <w:lang w:val="en-GB"/>
    </w:rPr>
  </w:style>
  <w:style w:type="paragraph" w:styleId="BodyTextIndent2">
    <w:name w:val="Body Text Indent 2"/>
    <w:basedOn w:val="Normal"/>
    <w:pPr>
      <w:ind w:left="720" w:hanging="720"/>
      <w:jc w:val="both"/>
    </w:pPr>
    <w:rPr>
      <w:rFonts w:ascii="Arial" w:hAnsi="Arial" w:cs="Arial"/>
      <w:bCs/>
      <w:sz w:val="22"/>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360" w:hanging="360"/>
      <w:jc w:val="both"/>
    </w:pPr>
    <w:rPr>
      <w:rFonts w:ascii="Arial" w:hAnsi="Arial" w:cs="Arial"/>
      <w:bCs/>
      <w:sz w:val="22"/>
      <w:lang w:val="en-GB"/>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30"/>
      <w:jc w:val="both"/>
    </w:pPr>
    <w:rPr>
      <w:sz w:val="22"/>
      <w:szCs w:val="20"/>
      <w:lang w:val="en-GB" w:eastAsia="en-US"/>
    </w:rPr>
  </w:style>
  <w:style w:type="paragraph" w:styleId="EndnoteText">
    <w:name w:val="endnote text"/>
    <w:basedOn w:val="Normal"/>
    <w:semiHidden/>
    <w:rsid w:val="00223476"/>
    <w:rPr>
      <w:sz w:val="20"/>
      <w:szCs w:val="20"/>
    </w:rPr>
  </w:style>
  <w:style w:type="character" w:styleId="EndnoteReference">
    <w:name w:val="endnote reference"/>
    <w:semiHidden/>
    <w:rsid w:val="00223476"/>
    <w:rPr>
      <w:vertAlign w:val="superscript"/>
    </w:rPr>
  </w:style>
  <w:style w:type="table" w:styleId="TableGrid">
    <w:name w:val="Table Grid"/>
    <w:basedOn w:val="TableNormal"/>
    <w:rsid w:val="00E3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34F09"/>
    <w:pPr>
      <w:shd w:val="clear" w:color="auto" w:fill="000080"/>
    </w:pPr>
    <w:rPr>
      <w:rFonts w:ascii="Tahoma" w:hAnsi="Tahoma" w:cs="Tahoma"/>
      <w:sz w:val="20"/>
      <w:szCs w:val="20"/>
    </w:rPr>
  </w:style>
  <w:style w:type="paragraph" w:styleId="Header">
    <w:name w:val="header"/>
    <w:basedOn w:val="Normal"/>
    <w:link w:val="HeaderChar"/>
    <w:rsid w:val="002E4E40"/>
    <w:pPr>
      <w:tabs>
        <w:tab w:val="center" w:pos="4536"/>
        <w:tab w:val="right" w:pos="9072"/>
      </w:tabs>
    </w:pPr>
  </w:style>
  <w:style w:type="character" w:customStyle="1" w:styleId="HeaderChar">
    <w:name w:val="Header Char"/>
    <w:link w:val="Header"/>
    <w:rsid w:val="002E4E40"/>
    <w:rPr>
      <w:sz w:val="24"/>
      <w:szCs w:val="24"/>
    </w:rPr>
  </w:style>
  <w:style w:type="paragraph" w:styleId="NormalWeb">
    <w:name w:val="Normal (Web)"/>
    <w:basedOn w:val="Normal"/>
    <w:uiPriority w:val="99"/>
    <w:unhideWhenUsed/>
    <w:rsid w:val="008C57AD"/>
    <w:pPr>
      <w:spacing w:before="100" w:beforeAutospacing="1" w:after="100" w:afterAutospacing="1"/>
    </w:pPr>
    <w:rPr>
      <w:lang w:val="en-US" w:eastAsia="en-US"/>
    </w:rPr>
  </w:style>
  <w:style w:type="paragraph" w:styleId="ListParagraph">
    <w:name w:val="List Paragraph"/>
    <w:basedOn w:val="Normal"/>
    <w:uiPriority w:val="34"/>
    <w:qFormat/>
    <w:rsid w:val="00FC672E"/>
    <w:pPr>
      <w:ind w:left="720"/>
    </w:pPr>
    <w:rPr>
      <w:rFonts w:ascii="Calibri" w:eastAsia="Calibri" w:hAnsi="Calibri"/>
      <w:sz w:val="22"/>
      <w:szCs w:val="22"/>
      <w:lang w:val="en-US" w:eastAsia="en-US"/>
    </w:rPr>
  </w:style>
  <w:style w:type="paragraph" w:customStyle="1" w:styleId="Default">
    <w:name w:val="Default"/>
    <w:rsid w:val="00D24336"/>
    <w:pPr>
      <w:autoSpaceDE w:val="0"/>
      <w:autoSpaceDN w:val="0"/>
      <w:adjustRightInd w:val="0"/>
    </w:pPr>
    <w:rPr>
      <w:rFonts w:ascii="Arial" w:hAnsi="Arial" w:cs="Arial"/>
      <w:color w:val="000000"/>
      <w:sz w:val="24"/>
      <w:szCs w:val="24"/>
    </w:rPr>
  </w:style>
  <w:style w:type="character" w:styleId="FollowedHyperlink">
    <w:name w:val="FollowedHyperlink"/>
    <w:rsid w:val="00DC7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044">
      <w:bodyDiv w:val="1"/>
      <w:marLeft w:val="0"/>
      <w:marRight w:val="0"/>
      <w:marTop w:val="0"/>
      <w:marBottom w:val="0"/>
      <w:divBdr>
        <w:top w:val="none" w:sz="0" w:space="0" w:color="auto"/>
        <w:left w:val="none" w:sz="0" w:space="0" w:color="auto"/>
        <w:bottom w:val="none" w:sz="0" w:space="0" w:color="auto"/>
        <w:right w:val="none" w:sz="0" w:space="0" w:color="auto"/>
      </w:divBdr>
    </w:div>
    <w:div w:id="41561452">
      <w:bodyDiv w:val="1"/>
      <w:marLeft w:val="0"/>
      <w:marRight w:val="0"/>
      <w:marTop w:val="0"/>
      <w:marBottom w:val="0"/>
      <w:divBdr>
        <w:top w:val="none" w:sz="0" w:space="0" w:color="auto"/>
        <w:left w:val="none" w:sz="0" w:space="0" w:color="auto"/>
        <w:bottom w:val="none" w:sz="0" w:space="0" w:color="auto"/>
        <w:right w:val="none" w:sz="0" w:space="0" w:color="auto"/>
      </w:divBdr>
    </w:div>
    <w:div w:id="98572558">
      <w:bodyDiv w:val="1"/>
      <w:marLeft w:val="0"/>
      <w:marRight w:val="0"/>
      <w:marTop w:val="0"/>
      <w:marBottom w:val="0"/>
      <w:divBdr>
        <w:top w:val="none" w:sz="0" w:space="0" w:color="auto"/>
        <w:left w:val="none" w:sz="0" w:space="0" w:color="auto"/>
        <w:bottom w:val="none" w:sz="0" w:space="0" w:color="auto"/>
        <w:right w:val="none" w:sz="0" w:space="0" w:color="auto"/>
      </w:divBdr>
      <w:divsChild>
        <w:div w:id="1793280098">
          <w:marLeft w:val="0"/>
          <w:marRight w:val="0"/>
          <w:marTop w:val="0"/>
          <w:marBottom w:val="0"/>
          <w:divBdr>
            <w:top w:val="none" w:sz="0" w:space="0" w:color="auto"/>
            <w:left w:val="none" w:sz="0" w:space="0" w:color="auto"/>
            <w:bottom w:val="none" w:sz="0" w:space="0" w:color="auto"/>
            <w:right w:val="none" w:sz="0" w:space="0" w:color="auto"/>
          </w:divBdr>
          <w:divsChild>
            <w:div w:id="842352518">
              <w:marLeft w:val="0"/>
              <w:marRight w:val="0"/>
              <w:marTop w:val="0"/>
              <w:marBottom w:val="0"/>
              <w:divBdr>
                <w:top w:val="none" w:sz="0" w:space="0" w:color="auto"/>
                <w:left w:val="none" w:sz="0" w:space="0" w:color="auto"/>
                <w:bottom w:val="none" w:sz="0" w:space="0" w:color="auto"/>
                <w:right w:val="none" w:sz="0" w:space="0" w:color="auto"/>
              </w:divBdr>
              <w:divsChild>
                <w:div w:id="2098402286">
                  <w:marLeft w:val="0"/>
                  <w:marRight w:val="0"/>
                  <w:marTop w:val="0"/>
                  <w:marBottom w:val="0"/>
                  <w:divBdr>
                    <w:top w:val="none" w:sz="0" w:space="0" w:color="auto"/>
                    <w:left w:val="none" w:sz="0" w:space="0" w:color="auto"/>
                    <w:bottom w:val="none" w:sz="0" w:space="0" w:color="auto"/>
                    <w:right w:val="none" w:sz="0" w:space="0" w:color="auto"/>
                  </w:divBdr>
                  <w:divsChild>
                    <w:div w:id="1721317954">
                      <w:marLeft w:val="0"/>
                      <w:marRight w:val="0"/>
                      <w:marTop w:val="0"/>
                      <w:marBottom w:val="0"/>
                      <w:divBdr>
                        <w:top w:val="none" w:sz="0" w:space="0" w:color="auto"/>
                        <w:left w:val="none" w:sz="0" w:space="0" w:color="auto"/>
                        <w:bottom w:val="none" w:sz="0" w:space="0" w:color="auto"/>
                        <w:right w:val="none" w:sz="0" w:space="0" w:color="auto"/>
                      </w:divBdr>
                      <w:divsChild>
                        <w:div w:id="751318322">
                          <w:marLeft w:val="0"/>
                          <w:marRight w:val="0"/>
                          <w:marTop w:val="0"/>
                          <w:marBottom w:val="0"/>
                          <w:divBdr>
                            <w:top w:val="none" w:sz="0" w:space="0" w:color="auto"/>
                            <w:left w:val="none" w:sz="0" w:space="0" w:color="auto"/>
                            <w:bottom w:val="none" w:sz="0" w:space="0" w:color="auto"/>
                            <w:right w:val="none" w:sz="0" w:space="0" w:color="auto"/>
                          </w:divBdr>
                          <w:divsChild>
                            <w:div w:id="1028064758">
                              <w:marLeft w:val="0"/>
                              <w:marRight w:val="0"/>
                              <w:marTop w:val="0"/>
                              <w:marBottom w:val="0"/>
                              <w:divBdr>
                                <w:top w:val="none" w:sz="0" w:space="0" w:color="auto"/>
                                <w:left w:val="none" w:sz="0" w:space="0" w:color="auto"/>
                                <w:bottom w:val="none" w:sz="0" w:space="0" w:color="auto"/>
                                <w:right w:val="none" w:sz="0" w:space="0" w:color="auto"/>
                              </w:divBdr>
                              <w:divsChild>
                                <w:div w:id="4741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4604">
      <w:bodyDiv w:val="1"/>
      <w:marLeft w:val="0"/>
      <w:marRight w:val="0"/>
      <w:marTop w:val="0"/>
      <w:marBottom w:val="0"/>
      <w:divBdr>
        <w:top w:val="none" w:sz="0" w:space="0" w:color="auto"/>
        <w:left w:val="none" w:sz="0" w:space="0" w:color="auto"/>
        <w:bottom w:val="none" w:sz="0" w:space="0" w:color="auto"/>
        <w:right w:val="none" w:sz="0" w:space="0" w:color="auto"/>
      </w:divBdr>
      <w:divsChild>
        <w:div w:id="1033069769">
          <w:marLeft w:val="0"/>
          <w:marRight w:val="0"/>
          <w:marTop w:val="0"/>
          <w:marBottom w:val="0"/>
          <w:divBdr>
            <w:top w:val="none" w:sz="0" w:space="0" w:color="auto"/>
            <w:left w:val="none" w:sz="0" w:space="0" w:color="auto"/>
            <w:bottom w:val="none" w:sz="0" w:space="0" w:color="auto"/>
            <w:right w:val="none" w:sz="0" w:space="0" w:color="auto"/>
          </w:divBdr>
          <w:divsChild>
            <w:div w:id="801505532">
              <w:marLeft w:val="0"/>
              <w:marRight w:val="0"/>
              <w:marTop w:val="0"/>
              <w:marBottom w:val="0"/>
              <w:divBdr>
                <w:top w:val="none" w:sz="0" w:space="0" w:color="auto"/>
                <w:left w:val="single" w:sz="6" w:space="19" w:color="DCE1E4"/>
                <w:bottom w:val="none" w:sz="0" w:space="0" w:color="auto"/>
                <w:right w:val="single" w:sz="6" w:space="19" w:color="DCE1E4"/>
              </w:divBdr>
              <w:divsChild>
                <w:div w:id="2000226489">
                  <w:marLeft w:val="0"/>
                  <w:marRight w:val="0"/>
                  <w:marTop w:val="0"/>
                  <w:marBottom w:val="0"/>
                  <w:divBdr>
                    <w:top w:val="none" w:sz="0" w:space="0" w:color="auto"/>
                    <w:left w:val="none" w:sz="0" w:space="0" w:color="auto"/>
                    <w:bottom w:val="none" w:sz="0" w:space="0" w:color="auto"/>
                    <w:right w:val="none" w:sz="0" w:space="0" w:color="auto"/>
                  </w:divBdr>
                  <w:divsChild>
                    <w:div w:id="107605046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9349077">
      <w:bodyDiv w:val="1"/>
      <w:marLeft w:val="0"/>
      <w:marRight w:val="0"/>
      <w:marTop w:val="0"/>
      <w:marBottom w:val="0"/>
      <w:divBdr>
        <w:top w:val="none" w:sz="0" w:space="0" w:color="auto"/>
        <w:left w:val="none" w:sz="0" w:space="0" w:color="auto"/>
        <w:bottom w:val="none" w:sz="0" w:space="0" w:color="auto"/>
        <w:right w:val="none" w:sz="0" w:space="0" w:color="auto"/>
      </w:divBdr>
    </w:div>
    <w:div w:id="438069508">
      <w:bodyDiv w:val="1"/>
      <w:marLeft w:val="0"/>
      <w:marRight w:val="0"/>
      <w:marTop w:val="0"/>
      <w:marBottom w:val="0"/>
      <w:divBdr>
        <w:top w:val="none" w:sz="0" w:space="0" w:color="auto"/>
        <w:left w:val="none" w:sz="0" w:space="0" w:color="auto"/>
        <w:bottom w:val="none" w:sz="0" w:space="0" w:color="auto"/>
        <w:right w:val="none" w:sz="0" w:space="0" w:color="auto"/>
      </w:divBdr>
      <w:divsChild>
        <w:div w:id="1923444881">
          <w:marLeft w:val="0"/>
          <w:marRight w:val="0"/>
          <w:marTop w:val="150"/>
          <w:marBottom w:val="0"/>
          <w:divBdr>
            <w:top w:val="none" w:sz="0" w:space="0" w:color="auto"/>
            <w:left w:val="none" w:sz="0" w:space="0" w:color="auto"/>
            <w:bottom w:val="none" w:sz="0" w:space="0" w:color="auto"/>
            <w:right w:val="none" w:sz="0" w:space="0" w:color="auto"/>
          </w:divBdr>
          <w:divsChild>
            <w:div w:id="48069600">
              <w:marLeft w:val="0"/>
              <w:marRight w:val="0"/>
              <w:marTop w:val="0"/>
              <w:marBottom w:val="0"/>
              <w:divBdr>
                <w:top w:val="none" w:sz="0" w:space="0" w:color="auto"/>
                <w:left w:val="none" w:sz="0" w:space="0" w:color="auto"/>
                <w:bottom w:val="none" w:sz="0" w:space="0" w:color="auto"/>
                <w:right w:val="none" w:sz="0" w:space="0" w:color="auto"/>
              </w:divBdr>
              <w:divsChild>
                <w:div w:id="1447846912">
                  <w:marLeft w:val="0"/>
                  <w:marRight w:val="0"/>
                  <w:marTop w:val="0"/>
                  <w:marBottom w:val="0"/>
                  <w:divBdr>
                    <w:top w:val="none" w:sz="0" w:space="0" w:color="auto"/>
                    <w:left w:val="none" w:sz="0" w:space="0" w:color="auto"/>
                    <w:bottom w:val="none" w:sz="0" w:space="0" w:color="auto"/>
                    <w:right w:val="none" w:sz="0" w:space="0" w:color="auto"/>
                  </w:divBdr>
                  <w:divsChild>
                    <w:div w:id="463891219">
                      <w:marLeft w:val="0"/>
                      <w:marRight w:val="0"/>
                      <w:marTop w:val="0"/>
                      <w:marBottom w:val="0"/>
                      <w:divBdr>
                        <w:top w:val="none" w:sz="0" w:space="0" w:color="auto"/>
                        <w:left w:val="none" w:sz="0" w:space="0" w:color="auto"/>
                        <w:bottom w:val="none" w:sz="0" w:space="0" w:color="auto"/>
                        <w:right w:val="none" w:sz="0" w:space="0" w:color="auto"/>
                      </w:divBdr>
                      <w:divsChild>
                        <w:div w:id="1270165350">
                          <w:marLeft w:val="75"/>
                          <w:marRight w:val="75"/>
                          <w:marTop w:val="375"/>
                          <w:marBottom w:val="75"/>
                          <w:divBdr>
                            <w:top w:val="none" w:sz="0" w:space="0" w:color="auto"/>
                            <w:left w:val="none" w:sz="0" w:space="0" w:color="auto"/>
                            <w:bottom w:val="none" w:sz="0" w:space="0" w:color="auto"/>
                            <w:right w:val="none" w:sz="0" w:space="0" w:color="auto"/>
                          </w:divBdr>
                          <w:divsChild>
                            <w:div w:id="1655403743">
                              <w:marLeft w:val="0"/>
                              <w:marRight w:val="0"/>
                              <w:marTop w:val="225"/>
                              <w:marBottom w:val="225"/>
                              <w:divBdr>
                                <w:top w:val="none" w:sz="0" w:space="0" w:color="auto"/>
                                <w:left w:val="none" w:sz="0" w:space="0" w:color="auto"/>
                                <w:bottom w:val="single" w:sz="12" w:space="0" w:color="67AA03"/>
                                <w:right w:val="none" w:sz="0" w:space="0" w:color="auto"/>
                              </w:divBdr>
                            </w:div>
                          </w:divsChild>
                        </w:div>
                        <w:div w:id="1600992577">
                          <w:marLeft w:val="75"/>
                          <w:marRight w:val="75"/>
                          <w:marTop w:val="375"/>
                          <w:marBottom w:val="75"/>
                          <w:divBdr>
                            <w:top w:val="none" w:sz="0" w:space="0" w:color="auto"/>
                            <w:left w:val="none" w:sz="0" w:space="0" w:color="auto"/>
                            <w:bottom w:val="none" w:sz="0" w:space="0" w:color="auto"/>
                            <w:right w:val="none" w:sz="0" w:space="0" w:color="auto"/>
                          </w:divBdr>
                          <w:divsChild>
                            <w:div w:id="1727293209">
                              <w:marLeft w:val="0"/>
                              <w:marRight w:val="0"/>
                              <w:marTop w:val="225"/>
                              <w:marBottom w:val="225"/>
                              <w:divBdr>
                                <w:top w:val="none" w:sz="0" w:space="0" w:color="auto"/>
                                <w:left w:val="none" w:sz="0" w:space="0" w:color="auto"/>
                                <w:bottom w:val="single" w:sz="12" w:space="0" w:color="67AA03"/>
                                <w:right w:val="none" w:sz="0" w:space="0" w:color="auto"/>
                              </w:divBdr>
                            </w:div>
                          </w:divsChild>
                        </w:div>
                        <w:div w:id="1816752634">
                          <w:marLeft w:val="75"/>
                          <w:marRight w:val="75"/>
                          <w:marTop w:val="375"/>
                          <w:marBottom w:val="75"/>
                          <w:divBdr>
                            <w:top w:val="none" w:sz="0" w:space="0" w:color="auto"/>
                            <w:left w:val="none" w:sz="0" w:space="0" w:color="auto"/>
                            <w:bottom w:val="none" w:sz="0" w:space="0" w:color="auto"/>
                            <w:right w:val="none" w:sz="0" w:space="0" w:color="auto"/>
                          </w:divBdr>
                          <w:divsChild>
                            <w:div w:id="3415914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53521">
      <w:bodyDiv w:val="1"/>
      <w:marLeft w:val="0"/>
      <w:marRight w:val="0"/>
      <w:marTop w:val="0"/>
      <w:marBottom w:val="0"/>
      <w:divBdr>
        <w:top w:val="none" w:sz="0" w:space="0" w:color="auto"/>
        <w:left w:val="none" w:sz="0" w:space="0" w:color="auto"/>
        <w:bottom w:val="none" w:sz="0" w:space="0" w:color="auto"/>
        <w:right w:val="none" w:sz="0" w:space="0" w:color="auto"/>
      </w:divBdr>
    </w:div>
    <w:div w:id="530873503">
      <w:bodyDiv w:val="1"/>
      <w:marLeft w:val="0"/>
      <w:marRight w:val="0"/>
      <w:marTop w:val="0"/>
      <w:marBottom w:val="0"/>
      <w:divBdr>
        <w:top w:val="none" w:sz="0" w:space="0" w:color="auto"/>
        <w:left w:val="none" w:sz="0" w:space="0" w:color="auto"/>
        <w:bottom w:val="none" w:sz="0" w:space="0" w:color="auto"/>
        <w:right w:val="none" w:sz="0" w:space="0" w:color="auto"/>
      </w:divBdr>
    </w:div>
    <w:div w:id="579408011">
      <w:bodyDiv w:val="1"/>
      <w:marLeft w:val="0"/>
      <w:marRight w:val="0"/>
      <w:marTop w:val="0"/>
      <w:marBottom w:val="0"/>
      <w:divBdr>
        <w:top w:val="none" w:sz="0" w:space="0" w:color="auto"/>
        <w:left w:val="none" w:sz="0" w:space="0" w:color="auto"/>
        <w:bottom w:val="none" w:sz="0" w:space="0" w:color="auto"/>
        <w:right w:val="none" w:sz="0" w:space="0" w:color="auto"/>
      </w:divBdr>
      <w:divsChild>
        <w:div w:id="652216311">
          <w:marLeft w:val="0"/>
          <w:marRight w:val="0"/>
          <w:marTop w:val="0"/>
          <w:marBottom w:val="0"/>
          <w:divBdr>
            <w:top w:val="none" w:sz="0" w:space="0" w:color="auto"/>
            <w:left w:val="none" w:sz="0" w:space="0" w:color="auto"/>
            <w:bottom w:val="none" w:sz="0" w:space="0" w:color="auto"/>
            <w:right w:val="none" w:sz="0" w:space="0" w:color="auto"/>
          </w:divBdr>
          <w:divsChild>
            <w:div w:id="1501694721">
              <w:marLeft w:val="0"/>
              <w:marRight w:val="0"/>
              <w:marTop w:val="0"/>
              <w:marBottom w:val="150"/>
              <w:divBdr>
                <w:top w:val="none" w:sz="0" w:space="0" w:color="auto"/>
                <w:left w:val="none" w:sz="0" w:space="0" w:color="auto"/>
                <w:bottom w:val="none" w:sz="0" w:space="0" w:color="auto"/>
                <w:right w:val="none" w:sz="0" w:space="0" w:color="auto"/>
              </w:divBdr>
              <w:divsChild>
                <w:div w:id="307244951">
                  <w:marLeft w:val="0"/>
                  <w:marRight w:val="0"/>
                  <w:marTop w:val="0"/>
                  <w:marBottom w:val="0"/>
                  <w:divBdr>
                    <w:top w:val="none" w:sz="0" w:space="0" w:color="auto"/>
                    <w:left w:val="none" w:sz="0" w:space="0" w:color="auto"/>
                    <w:bottom w:val="none" w:sz="0" w:space="0" w:color="auto"/>
                    <w:right w:val="none" w:sz="0" w:space="0" w:color="auto"/>
                  </w:divBdr>
                  <w:divsChild>
                    <w:div w:id="1634015644">
                      <w:marLeft w:val="0"/>
                      <w:marRight w:val="0"/>
                      <w:marTop w:val="0"/>
                      <w:marBottom w:val="0"/>
                      <w:divBdr>
                        <w:top w:val="none" w:sz="0" w:space="0" w:color="auto"/>
                        <w:left w:val="none" w:sz="0" w:space="0" w:color="auto"/>
                        <w:bottom w:val="none" w:sz="0" w:space="0" w:color="auto"/>
                        <w:right w:val="none" w:sz="0" w:space="0" w:color="auto"/>
                      </w:divBdr>
                      <w:divsChild>
                        <w:div w:id="1821579662">
                          <w:marLeft w:val="0"/>
                          <w:marRight w:val="0"/>
                          <w:marTop w:val="0"/>
                          <w:marBottom w:val="0"/>
                          <w:divBdr>
                            <w:top w:val="none" w:sz="0" w:space="0" w:color="auto"/>
                            <w:left w:val="none" w:sz="0" w:space="0" w:color="auto"/>
                            <w:bottom w:val="none" w:sz="0" w:space="0" w:color="auto"/>
                            <w:right w:val="none" w:sz="0" w:space="0" w:color="auto"/>
                          </w:divBdr>
                          <w:divsChild>
                            <w:div w:id="614094517">
                              <w:marLeft w:val="0"/>
                              <w:marRight w:val="0"/>
                              <w:marTop w:val="0"/>
                              <w:marBottom w:val="0"/>
                              <w:divBdr>
                                <w:top w:val="none" w:sz="0" w:space="0" w:color="auto"/>
                                <w:left w:val="none" w:sz="0" w:space="0" w:color="auto"/>
                                <w:bottom w:val="none" w:sz="0" w:space="0" w:color="auto"/>
                                <w:right w:val="none" w:sz="0" w:space="0" w:color="auto"/>
                              </w:divBdr>
                              <w:divsChild>
                                <w:div w:id="443041838">
                                  <w:marLeft w:val="0"/>
                                  <w:marRight w:val="-3600"/>
                                  <w:marTop w:val="150"/>
                                  <w:marBottom w:val="0"/>
                                  <w:divBdr>
                                    <w:top w:val="none" w:sz="0" w:space="0" w:color="auto"/>
                                    <w:left w:val="none" w:sz="0" w:space="0" w:color="auto"/>
                                    <w:bottom w:val="none" w:sz="0" w:space="0" w:color="auto"/>
                                    <w:right w:val="none" w:sz="0" w:space="0" w:color="auto"/>
                                  </w:divBdr>
                                  <w:divsChild>
                                    <w:div w:id="1842968855">
                                      <w:marLeft w:val="0"/>
                                      <w:marRight w:val="3600"/>
                                      <w:marTop w:val="0"/>
                                      <w:marBottom w:val="0"/>
                                      <w:divBdr>
                                        <w:top w:val="none" w:sz="0" w:space="0" w:color="auto"/>
                                        <w:left w:val="none" w:sz="0" w:space="0" w:color="auto"/>
                                        <w:bottom w:val="none" w:sz="0" w:space="0" w:color="auto"/>
                                        <w:right w:val="none" w:sz="0" w:space="0" w:color="auto"/>
                                      </w:divBdr>
                                      <w:divsChild>
                                        <w:div w:id="1114642013">
                                          <w:marLeft w:val="0"/>
                                          <w:marRight w:val="0"/>
                                          <w:marTop w:val="0"/>
                                          <w:marBottom w:val="0"/>
                                          <w:divBdr>
                                            <w:top w:val="none" w:sz="0" w:space="0" w:color="auto"/>
                                            <w:left w:val="none" w:sz="0" w:space="0" w:color="auto"/>
                                            <w:bottom w:val="none" w:sz="0" w:space="0" w:color="auto"/>
                                            <w:right w:val="none" w:sz="0" w:space="0" w:color="auto"/>
                                          </w:divBdr>
                                          <w:divsChild>
                                            <w:div w:id="1912155181">
                                              <w:marLeft w:val="0"/>
                                              <w:marRight w:val="0"/>
                                              <w:marTop w:val="0"/>
                                              <w:marBottom w:val="0"/>
                                              <w:divBdr>
                                                <w:top w:val="none" w:sz="0" w:space="0" w:color="auto"/>
                                                <w:left w:val="none" w:sz="0" w:space="0" w:color="auto"/>
                                                <w:bottom w:val="none" w:sz="0" w:space="0" w:color="auto"/>
                                                <w:right w:val="none" w:sz="0" w:space="0" w:color="auto"/>
                                              </w:divBdr>
                                              <w:divsChild>
                                                <w:div w:id="344291536">
                                                  <w:marLeft w:val="0"/>
                                                  <w:marRight w:val="0"/>
                                                  <w:marTop w:val="0"/>
                                                  <w:marBottom w:val="0"/>
                                                  <w:divBdr>
                                                    <w:top w:val="none" w:sz="0" w:space="0" w:color="auto"/>
                                                    <w:left w:val="none" w:sz="0" w:space="0" w:color="auto"/>
                                                    <w:bottom w:val="none" w:sz="0" w:space="0" w:color="auto"/>
                                                    <w:right w:val="none" w:sz="0" w:space="0" w:color="auto"/>
                                                  </w:divBdr>
                                                  <w:divsChild>
                                                    <w:div w:id="145169207">
                                                      <w:marLeft w:val="0"/>
                                                      <w:marRight w:val="0"/>
                                                      <w:marTop w:val="0"/>
                                                      <w:marBottom w:val="0"/>
                                                      <w:divBdr>
                                                        <w:top w:val="none" w:sz="0" w:space="0" w:color="auto"/>
                                                        <w:left w:val="none" w:sz="0" w:space="0" w:color="auto"/>
                                                        <w:bottom w:val="none" w:sz="0" w:space="0" w:color="auto"/>
                                                        <w:right w:val="none" w:sz="0" w:space="0" w:color="auto"/>
                                                      </w:divBdr>
                                                      <w:divsChild>
                                                        <w:div w:id="740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657320">
      <w:bodyDiv w:val="1"/>
      <w:marLeft w:val="0"/>
      <w:marRight w:val="0"/>
      <w:marTop w:val="0"/>
      <w:marBottom w:val="0"/>
      <w:divBdr>
        <w:top w:val="none" w:sz="0" w:space="0" w:color="auto"/>
        <w:left w:val="none" w:sz="0" w:space="0" w:color="auto"/>
        <w:bottom w:val="none" w:sz="0" w:space="0" w:color="auto"/>
        <w:right w:val="none" w:sz="0" w:space="0" w:color="auto"/>
      </w:divBdr>
    </w:div>
    <w:div w:id="1017730888">
      <w:bodyDiv w:val="1"/>
      <w:marLeft w:val="0"/>
      <w:marRight w:val="0"/>
      <w:marTop w:val="0"/>
      <w:marBottom w:val="0"/>
      <w:divBdr>
        <w:top w:val="none" w:sz="0" w:space="0" w:color="auto"/>
        <w:left w:val="none" w:sz="0" w:space="0" w:color="auto"/>
        <w:bottom w:val="none" w:sz="0" w:space="0" w:color="auto"/>
        <w:right w:val="none" w:sz="0" w:space="0" w:color="auto"/>
      </w:divBdr>
    </w:div>
    <w:div w:id="1156729826">
      <w:bodyDiv w:val="1"/>
      <w:marLeft w:val="0"/>
      <w:marRight w:val="0"/>
      <w:marTop w:val="0"/>
      <w:marBottom w:val="0"/>
      <w:divBdr>
        <w:top w:val="none" w:sz="0" w:space="0" w:color="auto"/>
        <w:left w:val="none" w:sz="0" w:space="0" w:color="auto"/>
        <w:bottom w:val="none" w:sz="0" w:space="0" w:color="auto"/>
        <w:right w:val="none" w:sz="0" w:space="0" w:color="auto"/>
      </w:divBdr>
    </w:div>
    <w:div w:id="1470711778">
      <w:bodyDiv w:val="1"/>
      <w:marLeft w:val="0"/>
      <w:marRight w:val="0"/>
      <w:marTop w:val="0"/>
      <w:marBottom w:val="0"/>
      <w:divBdr>
        <w:top w:val="none" w:sz="0" w:space="0" w:color="auto"/>
        <w:left w:val="none" w:sz="0" w:space="0" w:color="auto"/>
        <w:bottom w:val="none" w:sz="0" w:space="0" w:color="auto"/>
        <w:right w:val="none" w:sz="0" w:space="0" w:color="auto"/>
      </w:divBdr>
    </w:div>
    <w:div w:id="1904215097">
      <w:bodyDiv w:val="1"/>
      <w:marLeft w:val="0"/>
      <w:marRight w:val="0"/>
      <w:marTop w:val="0"/>
      <w:marBottom w:val="0"/>
      <w:divBdr>
        <w:top w:val="none" w:sz="0" w:space="0" w:color="auto"/>
        <w:left w:val="none" w:sz="0" w:space="0" w:color="auto"/>
        <w:bottom w:val="none" w:sz="0" w:space="0" w:color="auto"/>
        <w:right w:val="none" w:sz="0" w:space="0" w:color="auto"/>
      </w:divBdr>
    </w:div>
    <w:div w:id="20401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transport/modes/air/safety/air-ban_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509751177B60147AE3696EBF1CE525B" ma:contentTypeVersion="12" ma:contentTypeDescription="Create a new document." ma:contentTypeScope="" ma:versionID="fcf73970639b1363d93568bd506dd0f7">
  <xsd:schema xmlns:xsd="http://www.w3.org/2001/XMLSchema" xmlns:xs="http://www.w3.org/2001/XMLSchema" xmlns:p="http://schemas.microsoft.com/office/2006/metadata/properties" xmlns:ns2="c8543e52-fecc-42ff-b61a-3184ae57e7ba" xmlns:ns3="cf0beb6e-cd64-4bd4-a296-84dd27b4c387" targetNamespace="http://schemas.microsoft.com/office/2006/metadata/properties" ma:root="true" ma:fieldsID="30747ccbb846be99cb1ee62424836da2" ns2:_="" ns3:_="">
    <xsd:import namespace="c8543e52-fecc-42ff-b61a-3184ae57e7ba"/>
    <xsd:import namespace="cf0beb6e-cd64-4bd4-a296-84dd27b4c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43e52-fecc-42ff-b61a-3184ae57e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beb6e-cd64-4bd4-a296-84dd27b4c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8543e52-fecc-42ff-b61a-3184ae57e7ba">DFFUDPX6ENC3-1250212810-54458</_dlc_DocId>
    <_dlc_DocIdUrl xmlns="c8543e52-fecc-42ff-b61a-3184ae57e7ba">
      <Url>https://ectaa.sharepoint.com/sites/data/_layouts/15/DocIdRedir.aspx?ID=DFFUDPX6ENC3-1250212810-54458</Url>
      <Description>DFFUDPX6ENC3-1250212810-54458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41FF1-B5C7-4366-BBE7-6C0FE97C1693}">
  <ds:schemaRefs>
    <ds:schemaRef ds:uri="http://schemas.microsoft.com/sharepoint/events"/>
  </ds:schemaRefs>
</ds:datastoreItem>
</file>

<file path=customXml/itemProps2.xml><?xml version="1.0" encoding="utf-8"?>
<ds:datastoreItem xmlns:ds="http://schemas.openxmlformats.org/officeDocument/2006/customXml" ds:itemID="{E729D0D9-B9DD-4811-86F4-7888DF9D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43e52-fecc-42ff-b61a-3184ae57e7ba"/>
    <ds:schemaRef ds:uri="cf0beb6e-cd64-4bd4-a296-84dd27b4c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FBD2D-A022-4AEF-A85C-C289CB688AE1}">
  <ds:schemaRefs>
    <ds:schemaRef ds:uri="http://schemas.openxmlformats.org/officeDocument/2006/bibliography"/>
  </ds:schemaRefs>
</ds:datastoreItem>
</file>

<file path=customXml/itemProps4.xml><?xml version="1.0" encoding="utf-8"?>
<ds:datastoreItem xmlns:ds="http://schemas.openxmlformats.org/officeDocument/2006/customXml" ds:itemID="{36AC6328-F0DE-4FFC-978E-3E5F85BB013A}">
  <ds:schemaRefs>
    <ds:schemaRef ds:uri="http://schemas.microsoft.com/office/2006/metadata/properties"/>
    <ds:schemaRef ds:uri="http://schemas.microsoft.com/office/infopath/2007/PartnerControls"/>
    <ds:schemaRef ds:uri="c8543e52-fecc-42ff-b61a-3184ae57e7ba"/>
  </ds:schemaRefs>
</ds:datastoreItem>
</file>

<file path=customXml/itemProps5.xml><?xml version="1.0" encoding="utf-8"?>
<ds:datastoreItem xmlns:ds="http://schemas.openxmlformats.org/officeDocument/2006/customXml" ds:itemID="{A3159B6C-17B9-4A1C-8AE2-BFC40B1CF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409</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Ectaa</Company>
  <LinksUpToDate>false</LinksUpToDate>
  <CharactersWithSpaces>2656</CharactersWithSpaces>
  <SharedDoc>false</SharedDoc>
  <HLinks>
    <vt:vector size="12" baseType="variant">
      <vt:variant>
        <vt:i4>3211330</vt:i4>
      </vt:variant>
      <vt:variant>
        <vt:i4>3</vt:i4>
      </vt:variant>
      <vt:variant>
        <vt:i4>0</vt:i4>
      </vt:variant>
      <vt:variant>
        <vt:i4>5</vt:i4>
      </vt:variant>
      <vt:variant>
        <vt:lpwstr>https://ec.europa.eu/info/consultations/public-consultation-eu-air-safety-list-black-list-airlines-regulation_en</vt:lpwstr>
      </vt:variant>
      <vt:variant>
        <vt:lpwstr/>
      </vt:variant>
      <vt:variant>
        <vt:i4>2883645</vt:i4>
      </vt:variant>
      <vt:variant>
        <vt:i4>0</vt:i4>
      </vt:variant>
      <vt:variant>
        <vt:i4>0</vt:i4>
      </vt:variant>
      <vt:variant>
        <vt:i4>5</vt:i4>
      </vt:variant>
      <vt:variant>
        <vt:lpwstr>http://eur-lex.europa.eu/legal-content/EN/TXT/?uri=CELEX:32005R2111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Ectaa</dc:creator>
  <cp:lastModifiedBy>C. Russe</cp:lastModifiedBy>
  <cp:revision>9</cp:revision>
  <cp:lastPrinted>2016-09-08T11:18:00Z</cp:lastPrinted>
  <dcterms:created xsi:type="dcterms:W3CDTF">2020-12-07T15:21:00Z</dcterms:created>
  <dcterms:modified xsi:type="dcterms:W3CDTF">2020-12-07T16:43:00Z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0x010100E509751177B60147AE3696EBF1CE525B</vt:lpwstr>
  </property>
  <property fmtid="{D5CDD505-2E9C-101B-9397-08002B2CF9AE}" pid="4" name="_dlc_DocIdItemGuid">
    <vt:lpwstr>88ab503f-9bf9-4b2e-be51-45a9fea7e7e5</vt:lpwstr>
  </property>
</Properties>
</file>